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064337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064337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064337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064337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064337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064337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064337">
        <w:rPr>
          <w:rFonts w:ascii="Arial" w:hAnsi="Arial" w:cs="Arial"/>
          <w:sz w:val="18"/>
          <w:szCs w:val="18"/>
          <w:lang w:val="fr-FR"/>
        </w:rPr>
        <w:t xml:space="preserve"> </w:t>
      </w:r>
      <w:r w:rsidRPr="00064337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064337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064337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064337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064337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064337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064337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064337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064337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064337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65606AF4" w:rsidR="00305DAD" w:rsidRPr="00D9258D" w:rsidRDefault="00064337" w:rsidP="00305DAD">
      <w:pPr>
        <w:pStyle w:val="Title"/>
        <w:jc w:val="right"/>
        <w:rPr>
          <w:b w:val="0"/>
          <w:sz w:val="24"/>
          <w:szCs w:val="24"/>
        </w:rPr>
      </w:pPr>
      <w:r w:rsidRPr="00064337">
        <w:rPr>
          <w:b w:val="0"/>
          <w:sz w:val="24"/>
          <w:szCs w:val="24"/>
          <w:highlight w:val="yellow"/>
        </w:rPr>
        <w:t>June 2</w:t>
      </w:r>
      <w:r w:rsidR="009073CD">
        <w:rPr>
          <w:b w:val="0"/>
          <w:sz w:val="24"/>
          <w:szCs w:val="24"/>
          <w:highlight w:val="yellow"/>
        </w:rPr>
        <w:t>5</w:t>
      </w:r>
      <w:r w:rsidR="008F1618" w:rsidRPr="00064337">
        <w:rPr>
          <w:b w:val="0"/>
          <w:sz w:val="24"/>
          <w:szCs w:val="24"/>
          <w:highlight w:val="yellow"/>
        </w:rPr>
        <w:t xml:space="preserve">, </w:t>
      </w:r>
      <w:r w:rsidRPr="00064337">
        <w:rPr>
          <w:b w:val="0"/>
          <w:sz w:val="24"/>
          <w:szCs w:val="24"/>
          <w:highlight w:val="yellow"/>
        </w:rPr>
        <w:t>2026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1624F2AC" w:rsidR="00305DAD" w:rsidRPr="00D9258D" w:rsidRDefault="009073CD" w:rsidP="0038384C">
      <w:pPr>
        <w:pStyle w:val="Title"/>
        <w:spacing w:after="240"/>
        <w:rPr>
          <w:color w:val="auto"/>
        </w:rPr>
      </w:pPr>
      <w:r w:rsidRPr="009073CD">
        <w:rPr>
          <w:color w:val="auto"/>
        </w:rPr>
        <w:t>Commercial Track During FGIA Virtual Summer Summit Touches on Blast-resistant Fenestration, Site Inspections</w:t>
      </w:r>
    </w:p>
    <w:p w14:paraId="270FE97B" w14:textId="46DB44DC" w:rsidR="007D091F" w:rsidRDefault="00A41F02" w:rsidP="00FC0D8D">
      <w:r w:rsidRPr="008C1ED5">
        <w:t xml:space="preserve">SCHAUMBURG, IL </w:t>
      </w:r>
      <w:r w:rsidR="00723E5F" w:rsidRPr="008C1ED5">
        <w:t>–</w:t>
      </w:r>
      <w:r w:rsidR="005C7D7D" w:rsidRPr="008C1ED5">
        <w:t xml:space="preserve"> </w:t>
      </w:r>
      <w:r w:rsidR="008C1ED5" w:rsidRPr="008C1ED5">
        <w:t>During the</w:t>
      </w:r>
      <w:r w:rsidR="00723E5F" w:rsidRPr="008C1ED5">
        <w:t xml:space="preserve"> </w:t>
      </w:r>
      <w:r w:rsidR="00F13E41" w:rsidRPr="008C1ED5">
        <w:t xml:space="preserve">Fenestration </w:t>
      </w:r>
      <w:r w:rsidR="00917314" w:rsidRPr="008C1ED5">
        <w:t>and</w:t>
      </w:r>
      <w:r w:rsidR="00F13E41" w:rsidRPr="008C1ED5">
        <w:t xml:space="preserve"> Glazing Industry Alliance (FGIA)</w:t>
      </w:r>
      <w:r w:rsidR="008C1ED5" w:rsidRPr="008C1ED5">
        <w:t xml:space="preserve"> Virtual Summer Summit, participants had the option to select a commercially-focused track of </w:t>
      </w:r>
      <w:r w:rsidR="00633DB2">
        <w:t>subject matter. This</w:t>
      </w:r>
      <w:r w:rsidR="008C1ED5" w:rsidRPr="008C1ED5">
        <w:t xml:space="preserve"> </w:t>
      </w:r>
      <w:r w:rsidR="00633DB2">
        <w:t>track</w:t>
      </w:r>
      <w:r w:rsidR="008C1ED5" w:rsidRPr="008C1ED5">
        <w:t xml:space="preserve"> included a presentation about blast-resistant fenestration and advice on conducting successful site inspections. </w:t>
      </w:r>
      <w:r w:rsidR="008C1ED5">
        <w:t xml:space="preserve">The former </w:t>
      </w:r>
      <w:r w:rsidR="003440A3">
        <w:t xml:space="preserve">provided a primer </w:t>
      </w:r>
      <w:r w:rsidR="003440A3" w:rsidRPr="003440A3">
        <w:t xml:space="preserve">of applicable </w:t>
      </w:r>
      <w:r w:rsidR="003440A3">
        <w:t xml:space="preserve">blast </w:t>
      </w:r>
      <w:r w:rsidR="003440A3" w:rsidRPr="003440A3">
        <w:t xml:space="preserve">standards, design methodologies and the nuanced interplay </w:t>
      </w:r>
      <w:r w:rsidR="003440A3">
        <w:t xml:space="preserve">of </w:t>
      </w:r>
      <w:r w:rsidR="003440A3" w:rsidRPr="003440A3">
        <w:t>project-specific requirements</w:t>
      </w:r>
      <w:r w:rsidR="003440A3">
        <w:t xml:space="preserve">, </w:t>
      </w:r>
      <w:r w:rsidR="008C1ED5">
        <w:t>while the latter gave practical guidance for what to do before and after an inspection to avoid delays, added costs or</w:t>
      </w:r>
      <w:r w:rsidR="003440A3">
        <w:t xml:space="preserve"> performance</w:t>
      </w:r>
      <w:r w:rsidR="008C1ED5">
        <w:t xml:space="preserve"> issues.</w:t>
      </w:r>
    </w:p>
    <w:p w14:paraId="2CAA8A85" w14:textId="1863E643" w:rsidR="003F3D28" w:rsidRPr="003F3D28" w:rsidRDefault="00E05EDC" w:rsidP="003F3D28">
      <w:pPr>
        <w:rPr>
          <w:b/>
          <w:bCs/>
        </w:rPr>
      </w:pPr>
      <w:r w:rsidRPr="00E05EDC">
        <w:rPr>
          <w:b/>
          <w:bCs/>
        </w:rPr>
        <w:t xml:space="preserve">Design Issues in </w:t>
      </w:r>
      <w:r w:rsidR="009073CD" w:rsidRPr="00E05EDC">
        <w:rPr>
          <w:b/>
          <w:bCs/>
        </w:rPr>
        <w:t>Blast-resistant Fenestration</w:t>
      </w:r>
    </w:p>
    <w:p w14:paraId="43D34DC9" w14:textId="76FDD7EB" w:rsidR="005B3DE5" w:rsidRDefault="009073CD" w:rsidP="005B3DE5">
      <w:r w:rsidRPr="00E05EDC">
        <w:t>Lothar Erkens (</w:t>
      </w:r>
      <w:hyperlink r:id="rId10" w:history="1">
        <w:r w:rsidRPr="00E05EDC">
          <w:rPr>
            <w:rStyle w:val="Hyperlink"/>
            <w:sz w:val="22"/>
          </w:rPr>
          <w:t>Winco</w:t>
        </w:r>
      </w:hyperlink>
      <w:r w:rsidRPr="00E05EDC">
        <w:t xml:space="preserve">) gave an informative presentation </w:t>
      </w:r>
      <w:r w:rsidR="003440A3">
        <w:t>entitled</w:t>
      </w:r>
      <w:r w:rsidRPr="00E05EDC">
        <w:t>, “Blast-resistant Fenestration | What You Need to Know When Configuring Glazed Fenestration Products for Blast-resistant Applications.”</w:t>
      </w:r>
      <w:r w:rsidR="003A55C1">
        <w:t xml:space="preserve"> </w:t>
      </w:r>
      <w:r w:rsidRPr="009073CD">
        <w:t xml:space="preserve">Erkens </w:t>
      </w:r>
      <w:r w:rsidR="00AA3CD0">
        <w:t>began by</w:t>
      </w:r>
      <w:r w:rsidRPr="009073CD">
        <w:t xml:space="preserve"> </w:t>
      </w:r>
      <w:r w:rsidR="003440A3">
        <w:t>defining</w:t>
      </w:r>
      <w:r w:rsidR="00AA3CD0">
        <w:t xml:space="preserve"> </w:t>
      </w:r>
      <w:r w:rsidRPr="009073CD">
        <w:t xml:space="preserve">hazard levels and levels of protection, which he stressed are related but not, in </w:t>
      </w:r>
      <w:r w:rsidR="008C1ED5" w:rsidRPr="009073CD">
        <w:t>fact,</w:t>
      </w:r>
      <w:r w:rsidRPr="009073CD">
        <w:t xml:space="preserve"> interchangeable. “Level of Protection is the protection a fenestration system must provide to building occupants,” he said. “Hazard Level is the risk the glazing poses under blast design load.”</w:t>
      </w:r>
    </w:p>
    <w:p w14:paraId="5AC5451C" w14:textId="03515640" w:rsidR="009073CD" w:rsidRDefault="009073CD" w:rsidP="009073CD">
      <w:r>
        <w:t>When configuring glazed products, a good rule when it comes to blast</w:t>
      </w:r>
      <w:r w:rsidR="003440A3">
        <w:t xml:space="preserve"> </w:t>
      </w:r>
      <w:r>
        <w:t>resistance is to ensure that the innermost lite is laminated, regardless of exterior lamination</w:t>
      </w:r>
      <w:r w:rsidR="00AA3CD0">
        <w:t>, said Erkens</w:t>
      </w:r>
      <w:r>
        <w:t>. “Establish glass configurations for blast</w:t>
      </w:r>
      <w:r w:rsidR="00AA3CD0">
        <w:t>s</w:t>
      </w:r>
      <w:r>
        <w:t xml:space="preserve"> at the maximum hazard level</w:t>
      </w:r>
      <w:r w:rsidR="00AA3CD0">
        <w:t>,” he advised. “</w:t>
      </w:r>
      <w:r>
        <w:t xml:space="preserve">Then, verify against </w:t>
      </w:r>
      <w:r w:rsidR="00AA3CD0">
        <w:t xml:space="preserve">any </w:t>
      </w:r>
      <w:r>
        <w:t xml:space="preserve">additional requirements. </w:t>
      </w:r>
      <w:r w:rsidR="00AA3CD0">
        <w:t>The s</w:t>
      </w:r>
      <w:r>
        <w:t>tronger glass controls the design.”</w:t>
      </w:r>
    </w:p>
    <w:p w14:paraId="4C54921F" w14:textId="3FBE926F" w:rsidR="009073CD" w:rsidRPr="009073CD" w:rsidRDefault="009073CD" w:rsidP="009073CD">
      <w:r w:rsidRPr="009073CD">
        <w:t>Complicating design issues can include:</w:t>
      </w:r>
    </w:p>
    <w:p w14:paraId="637682BB" w14:textId="62667CBC" w:rsidR="009073CD" w:rsidRPr="009073CD" w:rsidRDefault="009073CD" w:rsidP="009073CD">
      <w:pPr>
        <w:pStyle w:val="ListParagraph"/>
        <w:numPr>
          <w:ilvl w:val="0"/>
          <w:numId w:val="20"/>
        </w:numPr>
      </w:pPr>
      <w:r w:rsidRPr="009073CD">
        <w:t xml:space="preserve">Heat stress: </w:t>
      </w:r>
      <w:r w:rsidR="003440A3">
        <w:t xml:space="preserve">This </w:t>
      </w:r>
      <w:r w:rsidR="00AA3CD0">
        <w:t xml:space="preserve">is when </w:t>
      </w:r>
      <w:r>
        <w:t xml:space="preserve">the </w:t>
      </w:r>
      <w:r w:rsidRPr="009073CD">
        <w:t xml:space="preserve">outboard lite must be heat strengthened </w:t>
      </w:r>
      <w:r>
        <w:t>or</w:t>
      </w:r>
      <w:r w:rsidRPr="009073CD">
        <w:t xml:space="preserve"> tempered</w:t>
      </w:r>
      <w:r w:rsidR="003440A3">
        <w:t>.</w:t>
      </w:r>
    </w:p>
    <w:p w14:paraId="5482271C" w14:textId="10CC2DF1" w:rsidR="009073CD" w:rsidRPr="009073CD" w:rsidRDefault="009073CD" w:rsidP="009073CD">
      <w:pPr>
        <w:pStyle w:val="ListParagraph"/>
        <w:numPr>
          <w:ilvl w:val="0"/>
          <w:numId w:val="20"/>
        </w:numPr>
      </w:pPr>
      <w:r w:rsidRPr="009073CD">
        <w:t xml:space="preserve">Safety </w:t>
      </w:r>
      <w:r>
        <w:t>g</w:t>
      </w:r>
      <w:r w:rsidRPr="009073CD">
        <w:t xml:space="preserve">lass </w:t>
      </w:r>
      <w:r>
        <w:t>c</w:t>
      </w:r>
      <w:r w:rsidRPr="009073CD">
        <w:t xml:space="preserve">ode: </w:t>
      </w:r>
      <w:r w:rsidR="003440A3">
        <w:t>I</w:t>
      </w:r>
      <w:r w:rsidR="00AA3CD0">
        <w:t xml:space="preserve">n this, </w:t>
      </w:r>
      <w:r>
        <w:t xml:space="preserve">the </w:t>
      </w:r>
      <w:r w:rsidRPr="009073CD">
        <w:t>exterior glass must be fully tempered or laminated</w:t>
      </w:r>
      <w:r w:rsidR="003440A3">
        <w:t>.</w:t>
      </w:r>
    </w:p>
    <w:p w14:paraId="20233B95" w14:textId="040B216A" w:rsidR="009073CD" w:rsidRPr="009073CD" w:rsidRDefault="009073CD" w:rsidP="009073CD">
      <w:pPr>
        <w:pStyle w:val="ListParagraph"/>
        <w:numPr>
          <w:ilvl w:val="0"/>
          <w:numId w:val="20"/>
        </w:numPr>
      </w:pPr>
      <w:r w:rsidRPr="009073CD">
        <w:t xml:space="preserve">Sound abatement: </w:t>
      </w:r>
      <w:r w:rsidR="003440A3">
        <w:t xml:space="preserve">The </w:t>
      </w:r>
      <w:r w:rsidRPr="009073CD">
        <w:t>outboard lite must also be laminated, adding strength</w:t>
      </w:r>
      <w:r w:rsidR="003440A3">
        <w:t>.</w:t>
      </w:r>
    </w:p>
    <w:p w14:paraId="02B197E0" w14:textId="3A0D8F17" w:rsidR="009073CD" w:rsidRPr="009073CD" w:rsidRDefault="009073CD" w:rsidP="009073CD">
      <w:pPr>
        <w:pStyle w:val="ListParagraph"/>
        <w:numPr>
          <w:ilvl w:val="0"/>
          <w:numId w:val="20"/>
        </w:numPr>
      </w:pPr>
      <w:r w:rsidRPr="009073CD">
        <w:t xml:space="preserve">Windborne debris/ballistic protection: this </w:t>
      </w:r>
      <w:r w:rsidR="00AA3CD0">
        <w:t xml:space="preserve">design option </w:t>
      </w:r>
      <w:r w:rsidRPr="009073CD">
        <w:t xml:space="preserve">may further protect the </w:t>
      </w:r>
      <w:r w:rsidR="003440A3">
        <w:t>insulating glass unit.</w:t>
      </w:r>
    </w:p>
    <w:p w14:paraId="22146E82" w14:textId="0B481AD4" w:rsidR="009073CD" w:rsidRPr="009073CD" w:rsidRDefault="00E05EDC" w:rsidP="005B3DE5">
      <w:r>
        <w:lastRenderedPageBreak/>
        <w:t>Finally</w:t>
      </w:r>
      <w:r w:rsidR="009073CD">
        <w:t>, when it comes to testing, Erkens reminded participants that</w:t>
      </w:r>
      <w:r>
        <w:t xml:space="preserve">, just because </w:t>
      </w:r>
      <w:r w:rsidR="003440A3">
        <w:t xml:space="preserve">products are </w:t>
      </w:r>
      <w:r>
        <w:t xml:space="preserve">tested, that </w:t>
      </w:r>
      <w:r w:rsidR="009073CD">
        <w:t xml:space="preserve">does not mean </w:t>
      </w:r>
      <w:r w:rsidR="003440A3">
        <w:t xml:space="preserve">they are </w:t>
      </w:r>
      <w:r w:rsidR="009073CD">
        <w:t xml:space="preserve">certified. </w:t>
      </w:r>
      <w:r>
        <w:t>“It’s valid only if the specimen size matches the project and pressure or impulse meets or exceeds requirements,” he said. “Test reports demonstrate manufacturer expertise and product sustainability.”</w:t>
      </w:r>
    </w:p>
    <w:p w14:paraId="56EB5650" w14:textId="67D8AE24" w:rsidR="007D091F" w:rsidRDefault="009073CD" w:rsidP="00FC0D8D">
      <w:pPr>
        <w:rPr>
          <w:b/>
          <w:bCs/>
        </w:rPr>
      </w:pPr>
      <w:r>
        <w:rPr>
          <w:b/>
          <w:bCs/>
        </w:rPr>
        <w:t>Preparing for Site Inspections</w:t>
      </w:r>
    </w:p>
    <w:p w14:paraId="04FC77AD" w14:textId="6839E013" w:rsidR="003A55C1" w:rsidRDefault="008D2346" w:rsidP="00FC0D8D">
      <w:r w:rsidRPr="008C1ED5">
        <w:t>David Vadocz (</w:t>
      </w:r>
      <w:hyperlink r:id="rId11" w:history="1">
        <w:r w:rsidRPr="008C1ED5">
          <w:rPr>
            <w:rStyle w:val="Hyperlink"/>
            <w:sz w:val="22"/>
          </w:rPr>
          <w:t>RDH</w:t>
        </w:r>
      </w:hyperlink>
      <w:r w:rsidRPr="008C1ED5">
        <w:t>) shared details in a presentation, “</w:t>
      </w:r>
      <w:r w:rsidR="003A55C1" w:rsidRPr="008C1ED5">
        <w:t>You Get What You Inspect, Not What You Expect: Preparing for Effective Site Inspections</w:t>
      </w:r>
      <w:r w:rsidRPr="008C1ED5">
        <w:t xml:space="preserve">,” about why effective site inspections are critical to project success. He began by describing what he called “the reactive trap,” which is when miscommunication or a lack of focus on the </w:t>
      </w:r>
      <w:r w:rsidR="00AA3CD0">
        <w:t>correct</w:t>
      </w:r>
      <w:r w:rsidRPr="008C1ED5">
        <w:t xml:space="preserve"> issues can cause costly problems, delays or performance issues.</w:t>
      </w:r>
    </w:p>
    <w:p w14:paraId="412D4C00" w14:textId="4BCB0713" w:rsidR="008D2346" w:rsidRDefault="008D2346" w:rsidP="00FC0D8D">
      <w:r>
        <w:t xml:space="preserve">“There are real costs of getting it wrong,” said </w:t>
      </w:r>
      <w:r w:rsidRPr="003A55C1">
        <w:t>Vadocz</w:t>
      </w:r>
      <w:r>
        <w:t xml:space="preserve">. “And if they are not addressed until later, </w:t>
      </w:r>
      <w:r w:rsidR="00AA3CD0">
        <w:t xml:space="preserve">those </w:t>
      </w:r>
      <w:r>
        <w:t>higher costs and insurance claims can be substantial.”</w:t>
      </w:r>
    </w:p>
    <w:p w14:paraId="211127B1" w14:textId="063C793E" w:rsidR="008D2346" w:rsidRPr="008D2346" w:rsidRDefault="008D2346" w:rsidP="008D2346">
      <w:r w:rsidRPr="008D2346">
        <w:t>He shared three steps for effective site visits</w:t>
      </w:r>
      <w:r w:rsidR="008C1ED5">
        <w:t xml:space="preserve"> as part of a methodology he recommended mastering:</w:t>
      </w:r>
    </w:p>
    <w:p w14:paraId="41975965" w14:textId="77333100" w:rsidR="008D2346" w:rsidRPr="008D2346" w:rsidRDefault="008D2346" w:rsidP="008D2346">
      <w:pPr>
        <w:pStyle w:val="ListParagraph"/>
        <w:numPr>
          <w:ilvl w:val="0"/>
          <w:numId w:val="22"/>
        </w:numPr>
      </w:pPr>
      <w:r w:rsidRPr="008D2346">
        <w:t>Understand</w:t>
      </w:r>
      <w:r w:rsidR="00AA3CD0">
        <w:t xml:space="preserve">: </w:t>
      </w:r>
      <w:r w:rsidR="00957556">
        <w:t>M</w:t>
      </w:r>
      <w:r w:rsidR="00957556" w:rsidRPr="008D2346">
        <w:t xml:space="preserve">aster </w:t>
      </w:r>
      <w:r w:rsidRPr="008D2346">
        <w:t>assemblies, tools and conditions before testing</w:t>
      </w:r>
      <w:r w:rsidR="00957556">
        <w:t>.</w:t>
      </w:r>
    </w:p>
    <w:p w14:paraId="664D502E" w14:textId="4A608159" w:rsidR="008D2346" w:rsidRPr="008D2346" w:rsidRDefault="008D2346" w:rsidP="008D2346">
      <w:pPr>
        <w:pStyle w:val="ListParagraph"/>
        <w:numPr>
          <w:ilvl w:val="0"/>
          <w:numId w:val="22"/>
        </w:numPr>
      </w:pPr>
      <w:r w:rsidRPr="008D2346">
        <w:t>Think</w:t>
      </w:r>
      <w:r w:rsidR="00AA3CD0">
        <w:t xml:space="preserve">: </w:t>
      </w:r>
      <w:r w:rsidR="00957556">
        <w:t>A</w:t>
      </w:r>
      <w:r w:rsidR="00957556" w:rsidRPr="008D2346">
        <w:t xml:space="preserve">nalyze </w:t>
      </w:r>
      <w:r w:rsidRPr="008D2346">
        <w:t xml:space="preserve">risk and plan </w:t>
      </w:r>
      <w:r w:rsidR="00957556">
        <w:t xml:space="preserve">a </w:t>
      </w:r>
      <w:r w:rsidRPr="008D2346">
        <w:t>comprehensive plan</w:t>
      </w:r>
      <w:r w:rsidR="00957556">
        <w:t>.</w:t>
      </w:r>
    </w:p>
    <w:p w14:paraId="1A5FAEF7" w14:textId="0E3614DC" w:rsidR="008D2346" w:rsidRPr="008D2346" w:rsidRDefault="008D2346" w:rsidP="008D2346">
      <w:pPr>
        <w:pStyle w:val="ListParagraph"/>
        <w:numPr>
          <w:ilvl w:val="0"/>
          <w:numId w:val="22"/>
        </w:numPr>
      </w:pPr>
      <w:r w:rsidRPr="008D2346">
        <w:t>Do</w:t>
      </w:r>
      <w:r w:rsidR="00AA3CD0">
        <w:t xml:space="preserve">: </w:t>
      </w:r>
      <w:r w:rsidR="00957556">
        <w:t>E</w:t>
      </w:r>
      <w:r w:rsidR="00957556" w:rsidRPr="008D2346">
        <w:t xml:space="preserve">xecute </w:t>
      </w:r>
      <w:r w:rsidRPr="008D2346">
        <w:t xml:space="preserve">investigation and </w:t>
      </w:r>
      <w:r w:rsidR="00AA3CD0">
        <w:t>re</w:t>
      </w:r>
      <w:r w:rsidRPr="008D2346">
        <w:t>iterate until successful</w:t>
      </w:r>
      <w:r w:rsidR="00957556">
        <w:t>.</w:t>
      </w:r>
    </w:p>
    <w:p w14:paraId="2F26DBC2" w14:textId="1867B62F" w:rsidR="00A86188" w:rsidRPr="008D2346" w:rsidRDefault="008D2346" w:rsidP="00A86188">
      <w:r w:rsidRPr="008D2346">
        <w:t>Before visiting the site, planning is everything</w:t>
      </w:r>
      <w:r w:rsidR="00A86188">
        <w:t xml:space="preserve">, said </w:t>
      </w:r>
      <w:r w:rsidR="00A86188" w:rsidRPr="003A55C1">
        <w:t>Vadocz</w:t>
      </w:r>
      <w:r w:rsidRPr="008D2346">
        <w:t xml:space="preserve">. </w:t>
      </w:r>
      <w:r w:rsidR="00957556">
        <w:t>This includes a</w:t>
      </w:r>
      <w:r w:rsidR="008C1ED5">
        <w:t>ssembling tools</w:t>
      </w:r>
      <w:r w:rsidR="00957556">
        <w:t>:</w:t>
      </w:r>
      <w:r w:rsidR="008C1ED5">
        <w:t xml:space="preserve"> </w:t>
      </w:r>
      <w:r w:rsidR="00A86188">
        <w:t>personal protection equipment</w:t>
      </w:r>
      <w:r w:rsidR="00957556">
        <w:t>, markers, tape measurers, a camera – anything you may need for an effective inspection.</w:t>
      </w:r>
      <w:r w:rsidR="008C1ED5">
        <w:t xml:space="preserve"> </w:t>
      </w:r>
      <w:r w:rsidR="00A86188" w:rsidRPr="008D2346">
        <w:t>After a site visit, a post-visit debriefing is recommended to confirm observations</w:t>
      </w:r>
      <w:r w:rsidR="00A86188">
        <w:t xml:space="preserve"> and clarify </w:t>
      </w:r>
      <w:r w:rsidR="00A86188" w:rsidRPr="008D2346">
        <w:t xml:space="preserve">content for the </w:t>
      </w:r>
      <w:r w:rsidR="00AA3CD0">
        <w:t xml:space="preserve">eventual </w:t>
      </w:r>
      <w:r w:rsidR="00A86188" w:rsidRPr="008D2346">
        <w:t>report.</w:t>
      </w:r>
      <w:r w:rsidR="008C1ED5">
        <w:t xml:space="preserve"> Other tips included </w:t>
      </w:r>
      <w:r w:rsidR="00957556">
        <w:t>reaching out to senior staff on complex conditions</w:t>
      </w:r>
      <w:r w:rsidR="008C1ED5">
        <w:t>, building collaborative contractor relationships</w:t>
      </w:r>
      <w:r w:rsidR="00957556" w:rsidRPr="00957556">
        <w:t xml:space="preserve"> </w:t>
      </w:r>
      <w:r w:rsidR="00957556">
        <w:t>and documenting everything</w:t>
      </w:r>
      <w:r w:rsidR="008C1ED5">
        <w:t>.</w:t>
      </w:r>
    </w:p>
    <w:p w14:paraId="56223B3E" w14:textId="5DC4E9D0" w:rsidR="008D2346" w:rsidRDefault="00A86188" w:rsidP="00FC0D8D">
      <w:r w:rsidRPr="003A55C1">
        <w:t>Vadocz</w:t>
      </w:r>
      <w:r>
        <w:t xml:space="preserve"> also </w:t>
      </w:r>
      <w:r w:rsidR="00957556">
        <w:t xml:space="preserve">advised </w:t>
      </w:r>
      <w:r>
        <w:t xml:space="preserve">having a Supplemental Information Process using Requests for Information (RFIs). “This creates two-way communication and sets in place efficient tracking methods to help everyone understand what’s expected,” said </w:t>
      </w:r>
      <w:r w:rsidRPr="003A55C1">
        <w:t>Vadocz</w:t>
      </w:r>
      <w:r>
        <w:t>.</w:t>
      </w:r>
    </w:p>
    <w:p w14:paraId="0025EA58" w14:textId="66A1DA54" w:rsidR="002C156D" w:rsidRDefault="00930EA7" w:rsidP="007D091F">
      <w:r>
        <w:t>For mo</w:t>
      </w:r>
      <w:r w:rsidR="00CE734A" w:rsidRPr="00FC0D8D">
        <w:t>re information</w:t>
      </w:r>
      <w:r w:rsidR="00917314">
        <w:t xml:space="preserve"> about FGIA and its </w:t>
      </w:r>
      <w:r w:rsidR="00064337">
        <w:t>events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2" w:history="1">
        <w:r w:rsidR="00064337">
          <w:rPr>
            <w:rStyle w:val="Hyperlink"/>
            <w:sz w:val="22"/>
          </w:rPr>
          <w:t>FGIAonline.org/events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DC88794" w14:textId="77777777" w:rsidR="00B15BA8" w:rsidRDefault="00B15BA8">
      <w:pPr>
        <w:spacing w:after="0" w:line="240" w:lineRule="auto"/>
      </w:pPr>
      <w:r>
        <w:separator/>
      </w:r>
    </w:p>
  </w:endnote>
  <w:endnote w:type="continuationSeparator" w:id="0">
    <w:p w14:paraId="25B62000" w14:textId="77777777" w:rsidR="00B15BA8" w:rsidRDefault="00B1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067E1DB" w14:textId="77777777" w:rsidR="00B15BA8" w:rsidRDefault="00B15BA8">
      <w:pPr>
        <w:spacing w:after="0" w:line="240" w:lineRule="auto"/>
      </w:pPr>
      <w:r>
        <w:separator/>
      </w:r>
    </w:p>
  </w:footnote>
  <w:footnote w:type="continuationSeparator" w:id="0">
    <w:p w14:paraId="1E278344" w14:textId="77777777" w:rsidR="00B15BA8" w:rsidRDefault="00B1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17105D"/>
    <w:multiLevelType w:val="hybridMultilevel"/>
    <w:tmpl w:val="06DA1518"/>
    <w:lvl w:ilvl="0" w:tplc="B6044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A4A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EF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47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6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E0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0B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8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0A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17AC"/>
    <w:multiLevelType w:val="hybridMultilevel"/>
    <w:tmpl w:val="C0D2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64EC"/>
    <w:multiLevelType w:val="hybridMultilevel"/>
    <w:tmpl w:val="F9AE3960"/>
    <w:lvl w:ilvl="0" w:tplc="8970F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C7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EC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C7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E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43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28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42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AB06FF"/>
    <w:multiLevelType w:val="hybridMultilevel"/>
    <w:tmpl w:val="4FAA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5155"/>
    <w:multiLevelType w:val="hybridMultilevel"/>
    <w:tmpl w:val="CA38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6140C"/>
    <w:multiLevelType w:val="hybridMultilevel"/>
    <w:tmpl w:val="ABB24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F1853"/>
    <w:multiLevelType w:val="hybridMultilevel"/>
    <w:tmpl w:val="0782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7"/>
  </w:num>
  <w:num w:numId="3" w16cid:durableId="2017417357">
    <w:abstractNumId w:val="11"/>
  </w:num>
  <w:num w:numId="4" w16cid:durableId="1391268474">
    <w:abstractNumId w:val="3"/>
  </w:num>
  <w:num w:numId="5" w16cid:durableId="1773815073">
    <w:abstractNumId w:val="16"/>
  </w:num>
  <w:num w:numId="6" w16cid:durableId="396899400">
    <w:abstractNumId w:val="1"/>
  </w:num>
  <w:num w:numId="7" w16cid:durableId="73597612">
    <w:abstractNumId w:val="5"/>
  </w:num>
  <w:num w:numId="8" w16cid:durableId="1853953106">
    <w:abstractNumId w:val="2"/>
  </w:num>
  <w:num w:numId="9" w16cid:durableId="2075085138">
    <w:abstractNumId w:val="10"/>
  </w:num>
  <w:num w:numId="10" w16cid:durableId="1150293424">
    <w:abstractNumId w:val="19"/>
  </w:num>
  <w:num w:numId="11" w16cid:durableId="558713910">
    <w:abstractNumId w:val="12"/>
  </w:num>
  <w:num w:numId="12" w16cid:durableId="170217207">
    <w:abstractNumId w:val="8"/>
  </w:num>
  <w:num w:numId="13" w16cid:durableId="649748747">
    <w:abstractNumId w:val="20"/>
  </w:num>
  <w:num w:numId="14" w16cid:durableId="476531495">
    <w:abstractNumId w:val="13"/>
  </w:num>
  <w:num w:numId="15" w16cid:durableId="1875968756">
    <w:abstractNumId w:val="15"/>
  </w:num>
  <w:num w:numId="16" w16cid:durableId="214389098">
    <w:abstractNumId w:val="0"/>
  </w:num>
  <w:num w:numId="17" w16cid:durableId="337654766">
    <w:abstractNumId w:val="6"/>
  </w:num>
  <w:num w:numId="18" w16cid:durableId="180628680">
    <w:abstractNumId w:val="7"/>
  </w:num>
  <w:num w:numId="19" w16cid:durableId="1363172332">
    <w:abstractNumId w:val="9"/>
  </w:num>
  <w:num w:numId="20" w16cid:durableId="1864006067">
    <w:abstractNumId w:val="4"/>
  </w:num>
  <w:num w:numId="21" w16cid:durableId="1883595231">
    <w:abstractNumId w:val="18"/>
  </w:num>
  <w:num w:numId="22" w16cid:durableId="1611666034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324E7"/>
    <w:rsid w:val="00037F97"/>
    <w:rsid w:val="00040047"/>
    <w:rsid w:val="000457C3"/>
    <w:rsid w:val="0004674B"/>
    <w:rsid w:val="000468D2"/>
    <w:rsid w:val="00052F0A"/>
    <w:rsid w:val="000625A4"/>
    <w:rsid w:val="00064337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79F"/>
    <w:rsid w:val="001269F0"/>
    <w:rsid w:val="00126AF7"/>
    <w:rsid w:val="00127917"/>
    <w:rsid w:val="00135975"/>
    <w:rsid w:val="00135DCD"/>
    <w:rsid w:val="001418B1"/>
    <w:rsid w:val="001551CB"/>
    <w:rsid w:val="00157286"/>
    <w:rsid w:val="00162CE8"/>
    <w:rsid w:val="00182AA5"/>
    <w:rsid w:val="00186B9A"/>
    <w:rsid w:val="00193DC9"/>
    <w:rsid w:val="00195B04"/>
    <w:rsid w:val="001A39FC"/>
    <w:rsid w:val="001A581E"/>
    <w:rsid w:val="001B5742"/>
    <w:rsid w:val="001C58B5"/>
    <w:rsid w:val="001C5E9D"/>
    <w:rsid w:val="001C7E3F"/>
    <w:rsid w:val="001D7A21"/>
    <w:rsid w:val="001E3C66"/>
    <w:rsid w:val="001E5803"/>
    <w:rsid w:val="001F3218"/>
    <w:rsid w:val="001F41AD"/>
    <w:rsid w:val="002062DB"/>
    <w:rsid w:val="002065B0"/>
    <w:rsid w:val="002067CB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5134B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3B3B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75FE"/>
    <w:rsid w:val="00340065"/>
    <w:rsid w:val="00342D50"/>
    <w:rsid w:val="003440A3"/>
    <w:rsid w:val="003443B6"/>
    <w:rsid w:val="00345218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A55C1"/>
    <w:rsid w:val="003B017E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65888"/>
    <w:rsid w:val="00476339"/>
    <w:rsid w:val="00476846"/>
    <w:rsid w:val="004777D3"/>
    <w:rsid w:val="00477E93"/>
    <w:rsid w:val="0048328A"/>
    <w:rsid w:val="004857A9"/>
    <w:rsid w:val="00486661"/>
    <w:rsid w:val="004907CC"/>
    <w:rsid w:val="00494C61"/>
    <w:rsid w:val="004A05C5"/>
    <w:rsid w:val="004A1526"/>
    <w:rsid w:val="004B6EC3"/>
    <w:rsid w:val="004B74AD"/>
    <w:rsid w:val="004C31E0"/>
    <w:rsid w:val="004C35D9"/>
    <w:rsid w:val="004C65DB"/>
    <w:rsid w:val="004D07F0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5117F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B3DE5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4B30"/>
    <w:rsid w:val="005E562A"/>
    <w:rsid w:val="005E7A8B"/>
    <w:rsid w:val="006022C3"/>
    <w:rsid w:val="00603FAD"/>
    <w:rsid w:val="00604C84"/>
    <w:rsid w:val="00606D78"/>
    <w:rsid w:val="0062398A"/>
    <w:rsid w:val="006317F5"/>
    <w:rsid w:val="00631C6B"/>
    <w:rsid w:val="00633C63"/>
    <w:rsid w:val="00633DB2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CB1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C6761"/>
    <w:rsid w:val="007D091F"/>
    <w:rsid w:val="007D20E2"/>
    <w:rsid w:val="007E3DFE"/>
    <w:rsid w:val="007F075D"/>
    <w:rsid w:val="007F0777"/>
    <w:rsid w:val="007F7AFB"/>
    <w:rsid w:val="00802F68"/>
    <w:rsid w:val="00806290"/>
    <w:rsid w:val="00806E15"/>
    <w:rsid w:val="0080753C"/>
    <w:rsid w:val="00813F90"/>
    <w:rsid w:val="00817E51"/>
    <w:rsid w:val="008260FB"/>
    <w:rsid w:val="0082737D"/>
    <w:rsid w:val="00827CA2"/>
    <w:rsid w:val="008351DB"/>
    <w:rsid w:val="00835913"/>
    <w:rsid w:val="00836F54"/>
    <w:rsid w:val="0084147D"/>
    <w:rsid w:val="008414E6"/>
    <w:rsid w:val="00841502"/>
    <w:rsid w:val="00842591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F3C"/>
    <w:rsid w:val="008A244F"/>
    <w:rsid w:val="008A2688"/>
    <w:rsid w:val="008A3CDE"/>
    <w:rsid w:val="008B5249"/>
    <w:rsid w:val="008B7133"/>
    <w:rsid w:val="008C1ED5"/>
    <w:rsid w:val="008D2053"/>
    <w:rsid w:val="008D2346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73CD"/>
    <w:rsid w:val="00917314"/>
    <w:rsid w:val="009200B2"/>
    <w:rsid w:val="009220A5"/>
    <w:rsid w:val="009236E7"/>
    <w:rsid w:val="00927618"/>
    <w:rsid w:val="00930EA7"/>
    <w:rsid w:val="009325E9"/>
    <w:rsid w:val="009343C4"/>
    <w:rsid w:val="00943896"/>
    <w:rsid w:val="00944FA5"/>
    <w:rsid w:val="00947D40"/>
    <w:rsid w:val="00954264"/>
    <w:rsid w:val="00957556"/>
    <w:rsid w:val="00962E75"/>
    <w:rsid w:val="00962E87"/>
    <w:rsid w:val="00963420"/>
    <w:rsid w:val="00967D62"/>
    <w:rsid w:val="00974E9A"/>
    <w:rsid w:val="00975E10"/>
    <w:rsid w:val="00996982"/>
    <w:rsid w:val="009A0248"/>
    <w:rsid w:val="009A23BB"/>
    <w:rsid w:val="009A2C5D"/>
    <w:rsid w:val="009B3BB5"/>
    <w:rsid w:val="009B572A"/>
    <w:rsid w:val="009C1FCE"/>
    <w:rsid w:val="009C478A"/>
    <w:rsid w:val="009C6DF2"/>
    <w:rsid w:val="009D4E05"/>
    <w:rsid w:val="009D626F"/>
    <w:rsid w:val="009D69A7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41F02"/>
    <w:rsid w:val="00A43F9D"/>
    <w:rsid w:val="00A441A2"/>
    <w:rsid w:val="00A46A06"/>
    <w:rsid w:val="00A52BB5"/>
    <w:rsid w:val="00A65771"/>
    <w:rsid w:val="00A7487C"/>
    <w:rsid w:val="00A7509E"/>
    <w:rsid w:val="00A75D7F"/>
    <w:rsid w:val="00A802C0"/>
    <w:rsid w:val="00A808FF"/>
    <w:rsid w:val="00A84FE7"/>
    <w:rsid w:val="00A86188"/>
    <w:rsid w:val="00A934DE"/>
    <w:rsid w:val="00A96D46"/>
    <w:rsid w:val="00AA1F2D"/>
    <w:rsid w:val="00AA3CD0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F4A0B"/>
    <w:rsid w:val="00B03BCD"/>
    <w:rsid w:val="00B15259"/>
    <w:rsid w:val="00B15BA8"/>
    <w:rsid w:val="00B178D4"/>
    <w:rsid w:val="00B21502"/>
    <w:rsid w:val="00B27515"/>
    <w:rsid w:val="00B362B4"/>
    <w:rsid w:val="00B3724B"/>
    <w:rsid w:val="00B37FE2"/>
    <w:rsid w:val="00B42E4E"/>
    <w:rsid w:val="00B43C0A"/>
    <w:rsid w:val="00B56A37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32244"/>
    <w:rsid w:val="00D32E21"/>
    <w:rsid w:val="00D33DB8"/>
    <w:rsid w:val="00D4456F"/>
    <w:rsid w:val="00D45543"/>
    <w:rsid w:val="00D54388"/>
    <w:rsid w:val="00D546F2"/>
    <w:rsid w:val="00D61E4E"/>
    <w:rsid w:val="00D66EED"/>
    <w:rsid w:val="00D67C50"/>
    <w:rsid w:val="00D72A53"/>
    <w:rsid w:val="00D770BE"/>
    <w:rsid w:val="00D77FD6"/>
    <w:rsid w:val="00D80BB5"/>
    <w:rsid w:val="00D87ADD"/>
    <w:rsid w:val="00D912E2"/>
    <w:rsid w:val="00D92428"/>
    <w:rsid w:val="00D9258D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05EDC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513B2"/>
    <w:rsid w:val="00E5286E"/>
    <w:rsid w:val="00E568BA"/>
    <w:rsid w:val="00E60959"/>
    <w:rsid w:val="00E61019"/>
    <w:rsid w:val="00E649AC"/>
    <w:rsid w:val="00E665E1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2276"/>
    <w:rsid w:val="00F8328B"/>
    <w:rsid w:val="00F90140"/>
    <w:rsid w:val="00F92BD0"/>
    <w:rsid w:val="00F960FE"/>
    <w:rsid w:val="00FA0B16"/>
    <w:rsid w:val="00FA115D"/>
    <w:rsid w:val="00FA1610"/>
    <w:rsid w:val="00FA211A"/>
    <w:rsid w:val="00FA4979"/>
    <w:rsid w:val="00FB100B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440A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aonline.org/event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dh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ncowindow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4569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2026-06-24T16:58:00Z</dcterms:created>
  <dcterms:modified xsi:type="dcterms:W3CDTF">2026-06-24T21:45:00Z</dcterms:modified>
</cp:coreProperties>
</file>