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36369D" w:rsidRDefault="00C6046E" w:rsidP="0036369D">
      <w:pPr>
        <w:spacing w:before="0"/>
        <w:ind w:right="8"/>
        <w:contextualSpacing/>
        <w:rPr>
          <w:rFonts w:ascii="Arial" w:hAnsi="Arial" w:cs="Arial"/>
          <w:i/>
          <w:sz w:val="18"/>
          <w:szCs w:val="18"/>
        </w:rPr>
      </w:pPr>
      <w:r w:rsidRPr="0036369D">
        <w:rPr>
          <w:rFonts w:ascii="Arial" w:hAnsi="Arial" w:cs="Arial"/>
          <w:i/>
          <w:sz w:val="18"/>
          <w:szCs w:val="18"/>
        </w:rPr>
        <w:t>Media</w:t>
      </w:r>
      <w:r w:rsidR="005814DB" w:rsidRPr="0036369D">
        <w:rPr>
          <w:rFonts w:ascii="Arial" w:hAnsi="Arial" w:cs="Arial"/>
          <w:i/>
          <w:sz w:val="18"/>
          <w:szCs w:val="18"/>
        </w:rPr>
        <w:t xml:space="preserve"> </w:t>
      </w:r>
      <w:r w:rsidRPr="0036369D">
        <w:rPr>
          <w:rFonts w:ascii="Arial" w:hAnsi="Arial" w:cs="Arial"/>
          <w:i/>
          <w:sz w:val="18"/>
          <w:szCs w:val="18"/>
        </w:rPr>
        <w:t>contact:</w:t>
      </w:r>
    </w:p>
    <w:p w14:paraId="095ACF16" w14:textId="10D6A1AE" w:rsidR="00C6046E" w:rsidRPr="0036369D" w:rsidRDefault="00C6046E" w:rsidP="0036369D">
      <w:pPr>
        <w:spacing w:before="0"/>
        <w:ind w:right="8"/>
        <w:contextualSpacing/>
        <w:rPr>
          <w:rFonts w:ascii="Arial" w:hAnsi="Arial" w:cs="Arial"/>
          <w:i/>
          <w:sz w:val="18"/>
          <w:szCs w:val="18"/>
        </w:rPr>
      </w:pP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Public</w:t>
      </w:r>
      <w:r w:rsidR="005814DB" w:rsidRPr="0036369D">
        <w:rPr>
          <w:rFonts w:ascii="Arial" w:hAnsi="Arial" w:cs="Arial"/>
          <w:i/>
          <w:sz w:val="18"/>
          <w:szCs w:val="18"/>
        </w:rPr>
        <w:t xml:space="preserve"> </w:t>
      </w:r>
      <w:r w:rsidRPr="0036369D">
        <w:rPr>
          <w:rFonts w:ascii="Arial" w:hAnsi="Arial" w:cs="Arial"/>
          <w:i/>
          <w:sz w:val="18"/>
          <w:szCs w:val="18"/>
        </w:rPr>
        <w:t>Relations,</w:t>
      </w:r>
      <w:r w:rsidR="005814DB" w:rsidRPr="0036369D">
        <w:rPr>
          <w:rFonts w:ascii="Arial" w:hAnsi="Arial" w:cs="Arial"/>
          <w:i/>
          <w:sz w:val="18"/>
          <w:szCs w:val="18"/>
        </w:rPr>
        <w:t xml:space="preserve"> </w:t>
      </w:r>
      <w:r w:rsidRPr="0036369D">
        <w:rPr>
          <w:rFonts w:ascii="Arial" w:hAnsi="Arial" w:cs="Arial"/>
          <w:i/>
          <w:sz w:val="18"/>
          <w:szCs w:val="18"/>
        </w:rPr>
        <w:t>612-724-8760,</w:t>
      </w:r>
      <w:r w:rsidR="005814DB" w:rsidRPr="0036369D">
        <w:rPr>
          <w:rFonts w:ascii="Arial" w:hAnsi="Arial" w:cs="Arial"/>
          <w:i/>
          <w:sz w:val="18"/>
          <w:szCs w:val="18"/>
        </w:rPr>
        <w:t xml:space="preserve"> </w:t>
      </w:r>
      <w:r w:rsidRPr="0036369D">
        <w:rPr>
          <w:rFonts w:ascii="Arial" w:hAnsi="Arial" w:cs="Arial"/>
          <w:i/>
          <w:sz w:val="18"/>
          <w:szCs w:val="18"/>
        </w:rPr>
        <w:t>heather@heatherwestpr.com</w:t>
      </w:r>
    </w:p>
    <w:p w14:paraId="23BFB914" w14:textId="77777777" w:rsidR="003D4CA1" w:rsidRPr="0036369D" w:rsidRDefault="003D4CA1" w:rsidP="0036369D">
      <w:pPr>
        <w:pStyle w:val="Heading1"/>
        <w:spacing w:before="0"/>
        <w:ind w:right="8"/>
        <w:contextualSpacing/>
        <w:rPr>
          <w:rFonts w:ascii="Arial" w:hAnsi="Arial" w:cs="Arial"/>
          <w:sz w:val="18"/>
          <w:szCs w:val="18"/>
        </w:rPr>
      </w:pPr>
    </w:p>
    <w:p w14:paraId="463F4A1F" w14:textId="77777777" w:rsidR="00DD7089" w:rsidRDefault="007A6026" w:rsidP="0036369D">
      <w:pPr>
        <w:pStyle w:val="Heading1"/>
        <w:spacing w:before="0"/>
        <w:ind w:right="8"/>
        <w:contextualSpacing/>
        <w:jc w:val="center"/>
        <w:rPr>
          <w:rFonts w:ascii="Arial" w:hAnsi="Arial" w:cs="Arial"/>
          <w:sz w:val="30"/>
          <w:szCs w:val="30"/>
        </w:rPr>
      </w:pPr>
      <w:r w:rsidRPr="0036369D">
        <w:rPr>
          <w:rFonts w:ascii="Arial" w:hAnsi="Arial" w:cs="Arial"/>
          <w:sz w:val="30"/>
          <w:szCs w:val="30"/>
        </w:rPr>
        <w:t xml:space="preserve">Intermountain Healthcare’s offices </w:t>
      </w:r>
      <w:r w:rsidR="00DD7089">
        <w:rPr>
          <w:rFonts w:ascii="Arial" w:hAnsi="Arial" w:cs="Arial"/>
          <w:sz w:val="30"/>
          <w:szCs w:val="30"/>
        </w:rPr>
        <w:t>optimize acoustics</w:t>
      </w:r>
    </w:p>
    <w:p w14:paraId="6B3A951A" w14:textId="2071BBD3" w:rsidR="00D3735C" w:rsidRPr="0036369D" w:rsidRDefault="00DD7089" w:rsidP="0036369D">
      <w:pPr>
        <w:pStyle w:val="Heading1"/>
        <w:spacing w:before="0"/>
        <w:ind w:right="8"/>
        <w:contextualSpacing/>
        <w:jc w:val="center"/>
        <w:rPr>
          <w:rFonts w:ascii="Arial" w:hAnsi="Arial" w:cs="Arial"/>
          <w:sz w:val="30"/>
          <w:szCs w:val="30"/>
        </w:rPr>
      </w:pPr>
      <w:r>
        <w:rPr>
          <w:rFonts w:ascii="Arial" w:hAnsi="Arial" w:cs="Arial"/>
          <w:sz w:val="30"/>
          <w:szCs w:val="30"/>
        </w:rPr>
        <w:t>with Rockfon’s ceiling systems</w:t>
      </w:r>
    </w:p>
    <w:p w14:paraId="41770380" w14:textId="77777777" w:rsidR="00FC7D49" w:rsidRPr="0036369D" w:rsidRDefault="00FC7D49" w:rsidP="0036369D">
      <w:pPr>
        <w:widowControl w:val="0"/>
        <w:autoSpaceDE w:val="0"/>
        <w:autoSpaceDN w:val="0"/>
        <w:adjustRightInd w:val="0"/>
        <w:spacing w:before="0"/>
        <w:ind w:right="8"/>
        <w:contextualSpacing/>
        <w:rPr>
          <w:rFonts w:ascii="Arial" w:hAnsi="Arial" w:cs="Arial"/>
          <w:sz w:val="22"/>
          <w:szCs w:val="22"/>
        </w:rPr>
      </w:pPr>
    </w:p>
    <w:p w14:paraId="22C1ADE5" w14:textId="08805DC6" w:rsidR="00A479D5" w:rsidRPr="0036369D" w:rsidRDefault="008D0DAF" w:rsidP="0036369D">
      <w:pPr>
        <w:pStyle w:val="Default"/>
        <w:spacing w:before="0"/>
        <w:contextualSpacing/>
        <w:rPr>
          <w:rFonts w:ascii="Arial" w:eastAsiaTheme="minorHAnsi" w:hAnsi="Arial" w:cs="Arial"/>
          <w:sz w:val="22"/>
          <w:szCs w:val="22"/>
        </w:rPr>
      </w:pPr>
      <w:r w:rsidRPr="0036369D">
        <w:rPr>
          <w:rFonts w:ascii="Arial" w:hAnsi="Arial" w:cs="Arial"/>
          <w:sz w:val="22"/>
          <w:szCs w:val="22"/>
        </w:rPr>
        <w:t>Chicago</w:t>
      </w:r>
      <w:r w:rsidR="005814DB" w:rsidRPr="0036369D">
        <w:rPr>
          <w:rFonts w:ascii="Arial" w:hAnsi="Arial" w:cs="Arial"/>
          <w:sz w:val="22"/>
          <w:szCs w:val="22"/>
        </w:rPr>
        <w:t xml:space="preserve"> </w:t>
      </w:r>
      <w:r w:rsidRPr="0036369D">
        <w:rPr>
          <w:rFonts w:ascii="Arial" w:hAnsi="Arial" w:cs="Arial"/>
          <w:sz w:val="22"/>
          <w:szCs w:val="22"/>
        </w:rPr>
        <w:t>(</w:t>
      </w:r>
      <w:r w:rsidR="004A739B">
        <w:rPr>
          <w:rFonts w:ascii="Arial" w:hAnsi="Arial" w:cs="Arial"/>
          <w:sz w:val="22"/>
          <w:szCs w:val="22"/>
        </w:rPr>
        <w:t>Sept</w:t>
      </w:r>
      <w:r w:rsidR="00873A88" w:rsidRPr="0036369D">
        <w:rPr>
          <w:rFonts w:ascii="Arial" w:hAnsi="Arial" w:cs="Arial"/>
          <w:sz w:val="22"/>
          <w:szCs w:val="22"/>
        </w:rPr>
        <w:t>.</w:t>
      </w:r>
      <w:r w:rsidR="005814DB" w:rsidRPr="0036369D">
        <w:rPr>
          <w:rFonts w:ascii="Arial" w:hAnsi="Arial" w:cs="Arial"/>
          <w:sz w:val="22"/>
          <w:szCs w:val="22"/>
        </w:rPr>
        <w:t xml:space="preserve"> </w:t>
      </w:r>
      <w:r w:rsidR="00CD0B55" w:rsidRPr="0036369D">
        <w:rPr>
          <w:rFonts w:ascii="Arial" w:hAnsi="Arial" w:cs="Arial"/>
          <w:sz w:val="22"/>
          <w:szCs w:val="22"/>
        </w:rPr>
        <w:t>2020</w:t>
      </w:r>
      <w:r w:rsidRPr="0036369D">
        <w:rPr>
          <w:rFonts w:ascii="Arial" w:hAnsi="Arial" w:cs="Arial"/>
          <w:sz w:val="22"/>
          <w:szCs w:val="22"/>
        </w:rPr>
        <w:t>)</w:t>
      </w:r>
      <w:r w:rsidR="005814DB" w:rsidRPr="0036369D">
        <w:rPr>
          <w:rFonts w:ascii="Arial" w:hAnsi="Arial" w:cs="Arial"/>
          <w:sz w:val="22"/>
          <w:szCs w:val="22"/>
        </w:rPr>
        <w:t xml:space="preserve"> </w:t>
      </w:r>
      <w:r w:rsidRPr="0036369D">
        <w:rPr>
          <w:rFonts w:ascii="Arial" w:hAnsi="Arial" w:cs="Arial"/>
          <w:sz w:val="22"/>
          <w:szCs w:val="22"/>
        </w:rPr>
        <w:t>–</w:t>
      </w:r>
      <w:r w:rsidR="0036369D" w:rsidRPr="0036369D">
        <w:rPr>
          <w:rFonts w:ascii="Arial" w:eastAsiaTheme="minorHAnsi" w:hAnsi="Arial" w:cs="Arial"/>
          <w:color w:val="000000" w:themeColor="text1"/>
          <w:sz w:val="22"/>
          <w:szCs w:val="22"/>
        </w:rPr>
        <w:t xml:space="preserve"> </w:t>
      </w:r>
      <w:r w:rsidR="0036369D" w:rsidRPr="0036369D">
        <w:rPr>
          <w:rFonts w:ascii="Arial" w:eastAsiaTheme="minorHAnsi" w:hAnsi="Arial" w:cs="Arial"/>
          <w:color w:val="211D1E"/>
          <w:sz w:val="22"/>
          <w:szCs w:val="22"/>
        </w:rPr>
        <w:t>Within the 27-story KeyBank Tower in Salt Lake City, Intermountain Healthcare’s new corporate and executive offices occupy two floors of bright, comfortable and cooperative workspace. Because sensitive medical and financial information is discussed within these offices, speech privacy and concentration were key considerations.</w:t>
      </w:r>
    </w:p>
    <w:p w14:paraId="376CF2D0" w14:textId="5AA05850" w:rsidR="00A479D5" w:rsidRPr="0036369D" w:rsidRDefault="00A479D5" w:rsidP="0036369D">
      <w:pPr>
        <w:pStyle w:val="Default"/>
        <w:spacing w:before="0"/>
        <w:ind w:right="8"/>
        <w:contextualSpacing/>
        <w:rPr>
          <w:rFonts w:ascii="Arial" w:hAnsi="Arial" w:cs="Arial"/>
          <w:color w:val="211D1E"/>
          <w:sz w:val="22"/>
          <w:szCs w:val="22"/>
        </w:rPr>
      </w:pPr>
    </w:p>
    <w:p w14:paraId="5468DE7C" w14:textId="156D8167" w:rsidR="0036369D" w:rsidRPr="0036369D" w:rsidRDefault="0036369D" w:rsidP="0036369D">
      <w:pPr>
        <w:pStyle w:val="Default"/>
        <w:spacing w:before="0"/>
        <w:ind w:right="8"/>
        <w:contextualSpacing/>
        <w:rPr>
          <w:rFonts w:ascii="Arial" w:eastAsiaTheme="minorHAnsi" w:hAnsi="Arial" w:cs="Arial"/>
          <w:color w:val="211D1E"/>
          <w:sz w:val="22"/>
          <w:szCs w:val="22"/>
        </w:rPr>
      </w:pPr>
      <w:r w:rsidRPr="0036369D">
        <w:rPr>
          <w:rFonts w:ascii="Arial" w:eastAsiaTheme="minorHAnsi" w:hAnsi="Arial" w:cs="Arial"/>
          <w:color w:val="211D1E"/>
          <w:sz w:val="22"/>
          <w:szCs w:val="22"/>
        </w:rPr>
        <w:t>The building, originally constructed in 1976, required new interior build-out and enhancements to accommodate Intermountain Healthcare’s management team. Designed by AJC Architects, the open office concept sought to promote an environment of innovation, collaboration, mutual respect and integrity among all team members. The modern interior features light colors, soft shapes, and natural materials such as gray masonry and white, acoustic, stone wool Rockfon ceiling panels.</w:t>
      </w:r>
    </w:p>
    <w:p w14:paraId="250A0CEF" w14:textId="0D9EEF5D" w:rsidR="0036369D" w:rsidRPr="0036369D" w:rsidRDefault="0036369D" w:rsidP="0036369D">
      <w:pPr>
        <w:pStyle w:val="Default"/>
        <w:spacing w:before="0"/>
        <w:ind w:right="8"/>
        <w:contextualSpacing/>
        <w:rPr>
          <w:rFonts w:ascii="Arial" w:eastAsiaTheme="minorHAnsi" w:hAnsi="Arial" w:cs="Arial"/>
          <w:color w:val="211D1E"/>
          <w:sz w:val="22"/>
          <w:szCs w:val="22"/>
        </w:rPr>
      </w:pPr>
    </w:p>
    <w:p w14:paraId="47B181BB" w14:textId="1E34AFAA" w:rsidR="0036369D" w:rsidRDefault="0036369D" w:rsidP="00DD7089">
      <w:pPr>
        <w:autoSpaceDE w:val="0"/>
        <w:autoSpaceDN w:val="0"/>
        <w:adjustRightInd w:val="0"/>
        <w:spacing w:before="0"/>
        <w:ind w:right="188"/>
        <w:contextualSpacing/>
        <w:rPr>
          <w:rFonts w:ascii="Arial" w:hAnsi="Arial" w:cs="Arial"/>
          <w:color w:val="211D1E"/>
          <w:sz w:val="22"/>
          <w:szCs w:val="22"/>
        </w:rPr>
      </w:pPr>
      <w:r w:rsidRPr="0036369D">
        <w:rPr>
          <w:rFonts w:ascii="Arial" w:hAnsi="Arial" w:cs="Arial"/>
          <w:color w:val="211D1E"/>
          <w:sz w:val="22"/>
          <w:szCs w:val="22"/>
        </w:rPr>
        <w:t>“Acoustics was a primary concern,” said Garrett Easton, Rockfon’s district manager. Combining full-height walls with sound-absorbing ceilings are essential steps to optimizing acoustics in interior spaces. Acoustic absorption decreases the distance that sound travels in open spaces and improves speech privacy. Fewer people are distracted, improving productivity and decreasing stress.</w:t>
      </w:r>
    </w:p>
    <w:p w14:paraId="6643E193" w14:textId="77777777" w:rsidR="00DD7089" w:rsidRPr="0036369D" w:rsidRDefault="00DD7089" w:rsidP="0036369D">
      <w:pPr>
        <w:autoSpaceDE w:val="0"/>
        <w:autoSpaceDN w:val="0"/>
        <w:adjustRightInd w:val="0"/>
        <w:spacing w:before="0"/>
        <w:contextualSpacing/>
        <w:rPr>
          <w:rFonts w:ascii="Arial" w:hAnsi="Arial" w:cs="Arial"/>
          <w:color w:val="211D1E"/>
          <w:sz w:val="22"/>
          <w:szCs w:val="22"/>
        </w:rPr>
      </w:pPr>
    </w:p>
    <w:p w14:paraId="255181A7" w14:textId="61DCAE46" w:rsidR="0036369D" w:rsidRPr="0036369D" w:rsidRDefault="0036369D" w:rsidP="0036369D">
      <w:pPr>
        <w:pStyle w:val="Default"/>
        <w:spacing w:before="0"/>
        <w:ind w:right="8"/>
        <w:contextualSpacing/>
        <w:rPr>
          <w:rFonts w:ascii="Arial" w:eastAsiaTheme="minorHAnsi" w:hAnsi="Arial" w:cs="Arial"/>
          <w:color w:val="211D1E"/>
          <w:sz w:val="22"/>
          <w:szCs w:val="22"/>
        </w:rPr>
      </w:pPr>
      <w:r w:rsidRPr="0036369D">
        <w:rPr>
          <w:rFonts w:ascii="Arial" w:eastAsiaTheme="minorHAnsi" w:hAnsi="Arial" w:cs="Arial"/>
          <w:color w:val="211D1E"/>
          <w:sz w:val="22"/>
          <w:szCs w:val="22"/>
        </w:rPr>
        <w:t>In enclosed spaces, such as the aptly named “quiet rooms,” Rockfon Alaska ceiling panels offer high sound absorption with a Noise Reduction Coefficient (NRC) of up to 0.90. In the open office area, Rockfon</w:t>
      </w:r>
      <w:r w:rsidR="00DD7089" w:rsidRPr="00DD7089">
        <w:rPr>
          <w:rFonts w:ascii="Arial" w:eastAsiaTheme="minorHAnsi" w:hAnsi="Arial" w:cs="Arial"/>
          <w:color w:val="211D1E"/>
          <w:position w:val="5"/>
          <w:sz w:val="22"/>
          <w:szCs w:val="22"/>
          <w:vertAlign w:val="superscript"/>
        </w:rPr>
        <w:t>®</w:t>
      </w:r>
      <w:r w:rsidRPr="0036369D">
        <w:rPr>
          <w:rFonts w:ascii="Arial" w:eastAsiaTheme="minorHAnsi" w:hAnsi="Arial" w:cs="Arial"/>
          <w:color w:val="211D1E"/>
          <w:sz w:val="22"/>
          <w:szCs w:val="22"/>
        </w:rPr>
        <w:t xml:space="preserve"> </w:t>
      </w:r>
      <w:proofErr w:type="spellStart"/>
      <w:r w:rsidRPr="0036369D">
        <w:rPr>
          <w:rFonts w:ascii="Arial" w:eastAsiaTheme="minorHAnsi" w:hAnsi="Arial" w:cs="Arial"/>
          <w:color w:val="211D1E"/>
          <w:sz w:val="22"/>
          <w:szCs w:val="22"/>
        </w:rPr>
        <w:t>Koral</w:t>
      </w:r>
      <w:proofErr w:type="spellEnd"/>
      <w:r w:rsidR="00DD7089" w:rsidRPr="00DD7089">
        <w:rPr>
          <w:rFonts w:ascii="Arial" w:eastAsiaTheme="minorHAnsi" w:hAnsi="Arial" w:cs="Arial"/>
          <w:color w:val="211D1E"/>
          <w:sz w:val="22"/>
          <w:szCs w:val="22"/>
          <w:vertAlign w:val="superscript"/>
        </w:rPr>
        <w:t>™</w:t>
      </w:r>
      <w:r w:rsidRPr="0036369D">
        <w:rPr>
          <w:rFonts w:ascii="Arial" w:eastAsiaTheme="minorHAnsi" w:hAnsi="Arial" w:cs="Arial"/>
          <w:color w:val="211D1E"/>
          <w:sz w:val="22"/>
          <w:szCs w:val="22"/>
        </w:rPr>
        <w:t xml:space="preserve"> panels provide good sound absorption of 0.85 NRC. Installed in Rockfon Chicago Metallic</w:t>
      </w:r>
      <w:r w:rsidR="00DD7089" w:rsidRPr="00DD7089">
        <w:rPr>
          <w:rFonts w:ascii="Arial" w:eastAsiaTheme="minorHAnsi" w:hAnsi="Arial" w:cs="Arial"/>
          <w:color w:val="211D1E"/>
          <w:position w:val="5"/>
          <w:sz w:val="22"/>
          <w:szCs w:val="22"/>
          <w:vertAlign w:val="superscript"/>
        </w:rPr>
        <w:t>®</w:t>
      </w:r>
      <w:r w:rsidRPr="0036369D">
        <w:rPr>
          <w:rFonts w:ascii="Arial" w:eastAsiaTheme="minorHAnsi" w:hAnsi="Arial" w:cs="Arial"/>
          <w:color w:val="211D1E"/>
          <w:sz w:val="22"/>
          <w:szCs w:val="22"/>
        </w:rPr>
        <w:t xml:space="preserve"> 1200 15/16-inch exposed grid, both of these acoustic ceiling tiles also deliver high light reflectance, 0.86 LR, to maximize the natural light from the windows into the office interior. Extending the light transmission into the open office, frosted glass partitions add to the feeling of openness with a sense of privacy.</w:t>
      </w:r>
    </w:p>
    <w:p w14:paraId="300EF19D" w14:textId="686A89CF" w:rsidR="0036369D" w:rsidRPr="0036369D" w:rsidRDefault="0036369D" w:rsidP="0036369D">
      <w:pPr>
        <w:pStyle w:val="Default"/>
        <w:spacing w:before="0"/>
        <w:ind w:right="8"/>
        <w:contextualSpacing/>
        <w:rPr>
          <w:rFonts w:ascii="Arial" w:eastAsiaTheme="minorHAnsi" w:hAnsi="Arial" w:cs="Arial"/>
          <w:color w:val="211D1E"/>
          <w:sz w:val="22"/>
          <w:szCs w:val="22"/>
        </w:rPr>
      </w:pPr>
    </w:p>
    <w:p w14:paraId="5A35B0A0" w14:textId="78B459D4" w:rsidR="0036369D" w:rsidRPr="0036369D" w:rsidRDefault="0036369D" w:rsidP="0036369D">
      <w:pPr>
        <w:pStyle w:val="Default"/>
        <w:spacing w:before="0"/>
        <w:ind w:right="8"/>
        <w:contextualSpacing/>
        <w:rPr>
          <w:rFonts w:ascii="Arial" w:eastAsiaTheme="minorHAnsi" w:hAnsi="Arial" w:cs="Arial"/>
          <w:color w:val="211D1E"/>
          <w:sz w:val="22"/>
          <w:szCs w:val="22"/>
        </w:rPr>
      </w:pPr>
      <w:r w:rsidRPr="0036369D">
        <w:rPr>
          <w:rFonts w:ascii="Arial" w:eastAsiaTheme="minorHAnsi" w:hAnsi="Arial" w:cs="Arial"/>
          <w:color w:val="211D1E"/>
          <w:sz w:val="22"/>
          <w:szCs w:val="22"/>
        </w:rPr>
        <w:t>Rockfon’s Easton and acoustic specialist, Gary Madaras, PhD, toured Intermountain Hea</w:t>
      </w:r>
      <w:r w:rsidR="00DD7089">
        <w:rPr>
          <w:rFonts w:ascii="Arial" w:eastAsiaTheme="minorHAnsi" w:hAnsi="Arial" w:cs="Arial"/>
          <w:color w:val="211D1E"/>
          <w:sz w:val="22"/>
          <w:szCs w:val="22"/>
        </w:rPr>
        <w:t>l</w:t>
      </w:r>
      <w:r w:rsidRPr="0036369D">
        <w:rPr>
          <w:rFonts w:ascii="Arial" w:eastAsiaTheme="minorHAnsi" w:hAnsi="Arial" w:cs="Arial"/>
          <w:color w:val="211D1E"/>
          <w:sz w:val="22"/>
          <w:szCs w:val="22"/>
        </w:rPr>
        <w:t xml:space="preserve">thcare’s offices after the team moved into the space in September 2018. “During our walk-through, the three main components of Optimized Acoustics </w:t>
      </w:r>
      <w:r w:rsidR="00DD7089">
        <w:rPr>
          <w:rFonts w:ascii="Arial" w:eastAsiaTheme="minorHAnsi" w:hAnsi="Arial" w:cs="Arial"/>
          <w:color w:val="211D1E"/>
          <w:sz w:val="22"/>
          <w:szCs w:val="22"/>
        </w:rPr>
        <w:t>–</w:t>
      </w:r>
      <w:r w:rsidRPr="0036369D">
        <w:rPr>
          <w:rFonts w:ascii="Arial" w:eastAsiaTheme="minorHAnsi" w:hAnsi="Arial" w:cs="Arial"/>
          <w:color w:val="211D1E"/>
          <w:sz w:val="22"/>
          <w:szCs w:val="22"/>
        </w:rPr>
        <w:t xml:space="preserve"> which are high NRC acoustic ceilings, full height partitions between rooms and designed background sound – resulted in a workplace that is in the top 10% for creating a positive acoustic experience,” said Madaras.</w:t>
      </w:r>
    </w:p>
    <w:p w14:paraId="2439D826" w14:textId="5A25EF7D" w:rsidR="0036369D" w:rsidRPr="0036369D" w:rsidRDefault="0036369D" w:rsidP="0036369D">
      <w:pPr>
        <w:pStyle w:val="Default"/>
        <w:spacing w:before="0"/>
        <w:ind w:right="8"/>
        <w:contextualSpacing/>
        <w:rPr>
          <w:rFonts w:ascii="Arial" w:eastAsiaTheme="minorHAnsi" w:hAnsi="Arial" w:cs="Arial"/>
          <w:color w:val="211D1E"/>
          <w:sz w:val="22"/>
          <w:szCs w:val="22"/>
        </w:rPr>
      </w:pPr>
    </w:p>
    <w:p w14:paraId="533B5AD6" w14:textId="70BFF504" w:rsidR="00A479D5" w:rsidRPr="0036369D" w:rsidRDefault="0036369D" w:rsidP="0036369D">
      <w:pPr>
        <w:pStyle w:val="Default"/>
        <w:spacing w:before="0"/>
        <w:ind w:right="8"/>
        <w:contextualSpacing/>
        <w:rPr>
          <w:rFonts w:ascii="Arial" w:hAnsi="Arial" w:cs="Arial"/>
          <w:i/>
          <w:sz w:val="22"/>
          <w:szCs w:val="22"/>
        </w:rPr>
      </w:pPr>
      <w:r w:rsidRPr="0036369D">
        <w:rPr>
          <w:rFonts w:ascii="Arial" w:eastAsiaTheme="minorHAnsi" w:hAnsi="Arial" w:cs="Arial"/>
          <w:color w:val="211D1E"/>
          <w:sz w:val="22"/>
          <w:szCs w:val="22"/>
        </w:rPr>
        <w:t>Achieving the desired result, Intermountain Healthcare’s staff operates comfortably and successfully from its new headquarters. The team leads nearly 40,000 caregivers who serve the health care needs of people across Utah, southern Idaho and southern Nevada. Their mission of “helping people live the healthiest lives possible</w:t>
      </w:r>
      <w:r w:rsidRPr="00DD7089">
        <w:rPr>
          <w:rFonts w:ascii="Arial" w:eastAsiaTheme="minorHAnsi" w:hAnsi="Arial" w:cs="Arial"/>
          <w:color w:val="211D1E"/>
          <w:position w:val="5"/>
          <w:sz w:val="22"/>
          <w:szCs w:val="22"/>
          <w:vertAlign w:val="superscript"/>
        </w:rPr>
        <w:t>®</w:t>
      </w:r>
      <w:r w:rsidRPr="0036369D">
        <w:rPr>
          <w:rFonts w:ascii="Arial" w:eastAsiaTheme="minorHAnsi" w:hAnsi="Arial" w:cs="Arial"/>
          <w:color w:val="211D1E"/>
          <w:sz w:val="22"/>
          <w:szCs w:val="22"/>
        </w:rPr>
        <w:t>” guides the entire organization and those in its corporate and executive offices.</w:t>
      </w:r>
    </w:p>
    <w:p w14:paraId="55E44634" w14:textId="316621CB" w:rsidR="00A479D5" w:rsidRPr="00DD7089" w:rsidRDefault="00A479D5" w:rsidP="0036369D">
      <w:pPr>
        <w:pStyle w:val="Default"/>
        <w:spacing w:before="0"/>
        <w:ind w:right="8"/>
        <w:contextualSpacing/>
        <w:rPr>
          <w:rFonts w:ascii="Arial" w:eastAsiaTheme="minorHAnsi" w:hAnsi="Arial" w:cs="Arial"/>
          <w:color w:val="211D1E"/>
          <w:sz w:val="20"/>
          <w:szCs w:val="20"/>
        </w:rPr>
      </w:pPr>
    </w:p>
    <w:p w14:paraId="362B279D" w14:textId="775BEF88" w:rsidR="00A479D5" w:rsidRPr="00DD7089" w:rsidRDefault="00A479D5" w:rsidP="0036369D">
      <w:pPr>
        <w:pStyle w:val="Default"/>
        <w:spacing w:before="0"/>
        <w:ind w:right="8"/>
        <w:contextualSpacing/>
        <w:jc w:val="center"/>
        <w:rPr>
          <w:rFonts w:ascii="Arial" w:eastAsiaTheme="minorHAnsi" w:hAnsi="Arial" w:cs="Arial"/>
          <w:color w:val="211D1E"/>
          <w:sz w:val="20"/>
          <w:szCs w:val="20"/>
        </w:rPr>
      </w:pPr>
      <w:r w:rsidRPr="00DD7089">
        <w:rPr>
          <w:rFonts w:ascii="Arial" w:eastAsiaTheme="minorHAnsi" w:hAnsi="Arial" w:cs="Arial"/>
          <w:color w:val="211D1E"/>
          <w:sz w:val="20"/>
          <w:szCs w:val="20"/>
        </w:rPr>
        <w:t>**</w:t>
      </w:r>
    </w:p>
    <w:p w14:paraId="1D012853" w14:textId="77777777" w:rsidR="00A479D5" w:rsidRPr="00DD7089" w:rsidRDefault="00A479D5" w:rsidP="0036369D">
      <w:pPr>
        <w:pStyle w:val="Default"/>
        <w:spacing w:before="0"/>
        <w:ind w:right="8"/>
        <w:contextualSpacing/>
        <w:rPr>
          <w:rFonts w:ascii="Arial" w:eastAsiaTheme="minorHAnsi" w:hAnsi="Arial" w:cs="Arial"/>
          <w:color w:val="211D1E"/>
          <w:sz w:val="20"/>
          <w:szCs w:val="20"/>
        </w:rPr>
      </w:pPr>
    </w:p>
    <w:p w14:paraId="77036400" w14:textId="1A3C02DD" w:rsidR="00DD7089" w:rsidRPr="00DD7089" w:rsidRDefault="00DD7089" w:rsidP="00DD7089">
      <w:pPr>
        <w:spacing w:before="0"/>
        <w:contextualSpacing/>
        <w:rPr>
          <w:rFonts w:ascii="Arial" w:eastAsia="Times New Roman" w:hAnsi="Arial" w:cs="Arial"/>
          <w:color w:val="auto"/>
          <w:sz w:val="20"/>
          <w:szCs w:val="20"/>
        </w:rPr>
      </w:pPr>
      <w:r w:rsidRPr="00DD7089">
        <w:rPr>
          <w:rFonts w:ascii="Arial" w:hAnsi="Arial" w:cs="Arial"/>
          <w:b/>
          <w:sz w:val="20"/>
          <w:szCs w:val="20"/>
        </w:rPr>
        <w:t xml:space="preserve">Intermountain Healthcare Corporate and Executive Offices; </w:t>
      </w:r>
      <w:r w:rsidRPr="00DD7089">
        <w:rPr>
          <w:rFonts w:ascii="Arial" w:hAnsi="Arial" w:cs="Arial"/>
          <w:bCs/>
          <w:kern w:val="36"/>
          <w:sz w:val="20"/>
          <w:szCs w:val="20"/>
        </w:rPr>
        <w:t>KeyBank Tower</w:t>
      </w:r>
      <w:r w:rsidRPr="00DD7089">
        <w:rPr>
          <w:rFonts w:ascii="Arial" w:hAnsi="Arial" w:cs="Arial"/>
          <w:b/>
          <w:sz w:val="20"/>
          <w:szCs w:val="20"/>
        </w:rPr>
        <w:t xml:space="preserve">, </w:t>
      </w:r>
      <w:r w:rsidRPr="00DD7089">
        <w:rPr>
          <w:rFonts w:ascii="Arial" w:eastAsia="Times New Roman" w:hAnsi="Arial" w:cs="Arial"/>
          <w:color w:val="auto"/>
          <w:sz w:val="20"/>
          <w:szCs w:val="20"/>
        </w:rPr>
        <w:t>15 W S Temple Ste 100, Salt Lake City, UT 84101</w:t>
      </w:r>
    </w:p>
    <w:p w14:paraId="33CA9E34" w14:textId="2EB8508E" w:rsidR="00DD7089" w:rsidRPr="00DD7089" w:rsidRDefault="00DD7089" w:rsidP="00DD7089">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DD7089">
        <w:rPr>
          <w:rFonts w:ascii="Arial" w:hAnsi="Arial" w:cs="Arial"/>
          <w:sz w:val="20"/>
          <w:szCs w:val="20"/>
        </w:rPr>
        <w:t>Architect: AJC Architects; Salt Lake City, Utah; https://ajcarchitects.com</w:t>
      </w:r>
    </w:p>
    <w:p w14:paraId="6CD94606" w14:textId="3DF0071B" w:rsidR="00DD7089" w:rsidRPr="00DD7089" w:rsidRDefault="00DD7089" w:rsidP="0036369D">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DD7089">
        <w:rPr>
          <w:rFonts w:ascii="Arial" w:hAnsi="Arial" w:cs="Arial"/>
          <w:sz w:val="20"/>
          <w:szCs w:val="20"/>
        </w:rPr>
        <w:t xml:space="preserve">General contractor: </w:t>
      </w:r>
      <w:proofErr w:type="spellStart"/>
      <w:r w:rsidRPr="00DD7089">
        <w:rPr>
          <w:rFonts w:ascii="Arial" w:hAnsi="Arial" w:cs="Arial"/>
          <w:sz w:val="20"/>
          <w:szCs w:val="20"/>
        </w:rPr>
        <w:t>Daw</w:t>
      </w:r>
      <w:proofErr w:type="spellEnd"/>
      <w:r w:rsidRPr="00DD7089">
        <w:rPr>
          <w:rFonts w:ascii="Arial" w:hAnsi="Arial" w:cs="Arial"/>
          <w:sz w:val="20"/>
          <w:szCs w:val="20"/>
        </w:rPr>
        <w:t xml:space="preserve"> Construction Group, LLC; Draper, Utah; http://www.dawcg.com</w:t>
      </w:r>
    </w:p>
    <w:p w14:paraId="2ECF921F" w14:textId="2F36B257" w:rsidR="00DD7089" w:rsidRPr="00DD7089" w:rsidRDefault="00DD7089" w:rsidP="0036369D">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DD7089">
        <w:rPr>
          <w:rFonts w:ascii="Arial" w:hAnsi="Arial" w:cs="Arial"/>
          <w:sz w:val="20"/>
          <w:szCs w:val="20"/>
        </w:rPr>
        <w:t xml:space="preserve">Installing contractor: Alternative Acoustics, Inc.; </w:t>
      </w:r>
      <w:proofErr w:type="spellStart"/>
      <w:r w:rsidRPr="00DD7089">
        <w:rPr>
          <w:rFonts w:ascii="Arial" w:hAnsi="Arial" w:cs="Arial"/>
          <w:sz w:val="20"/>
          <w:szCs w:val="20"/>
        </w:rPr>
        <w:t>Midvail</w:t>
      </w:r>
      <w:proofErr w:type="spellEnd"/>
      <w:r w:rsidRPr="00DD7089">
        <w:rPr>
          <w:rFonts w:ascii="Arial" w:hAnsi="Arial" w:cs="Arial"/>
          <w:sz w:val="20"/>
          <w:szCs w:val="20"/>
        </w:rPr>
        <w:t>, Utah; http://altacoustics.com</w:t>
      </w:r>
    </w:p>
    <w:p w14:paraId="653AEA4E" w14:textId="74F9D0E3" w:rsidR="00AB12D6" w:rsidRPr="00DD7089" w:rsidRDefault="00AB12D6" w:rsidP="0036369D">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DD7089">
        <w:rPr>
          <w:rFonts w:ascii="Arial" w:eastAsia="Cambria" w:hAnsi="Arial" w:cs="Arial"/>
          <w:sz w:val="20"/>
          <w:szCs w:val="20"/>
          <w:u w:color="000000"/>
        </w:rPr>
        <w:t>Ceiling systems – manufacturer: Rockfon; Chicago; https://www.rockfon.com</w:t>
      </w:r>
    </w:p>
    <w:p w14:paraId="4C06A422" w14:textId="6830FDE8" w:rsidR="00015D97" w:rsidRPr="00DD7089" w:rsidRDefault="0036369D" w:rsidP="0036369D">
      <w:pPr>
        <w:pStyle w:val="Default"/>
        <w:numPr>
          <w:ilvl w:val="0"/>
          <w:numId w:val="35"/>
        </w:numPr>
        <w:spacing w:before="0"/>
        <w:ind w:right="8"/>
        <w:contextualSpacing/>
        <w:rPr>
          <w:rFonts w:ascii="Arial" w:hAnsi="Arial" w:cs="Arial"/>
          <w:sz w:val="20"/>
          <w:szCs w:val="20"/>
        </w:rPr>
      </w:pPr>
      <w:r w:rsidRPr="00DD7089">
        <w:rPr>
          <w:rFonts w:ascii="Arial" w:hAnsi="Arial" w:cs="Arial"/>
          <w:color w:val="211D1E"/>
          <w:sz w:val="20"/>
          <w:szCs w:val="20"/>
        </w:rPr>
        <w:t xml:space="preserve">Photographer: Corey </w:t>
      </w:r>
      <w:proofErr w:type="spellStart"/>
      <w:r w:rsidRPr="00DD7089">
        <w:rPr>
          <w:rFonts w:ascii="Arial" w:hAnsi="Arial" w:cs="Arial"/>
          <w:color w:val="211D1E"/>
          <w:sz w:val="20"/>
          <w:szCs w:val="20"/>
        </w:rPr>
        <w:t>Kopischke</w:t>
      </w:r>
      <w:proofErr w:type="spellEnd"/>
      <w:r w:rsidR="00DD7089" w:rsidRPr="00DD7089">
        <w:rPr>
          <w:rFonts w:ascii="Arial" w:hAnsi="Arial" w:cs="Arial"/>
          <w:color w:val="211D1E"/>
          <w:sz w:val="20"/>
          <w:szCs w:val="20"/>
        </w:rPr>
        <w:t xml:space="preserve"> </w:t>
      </w:r>
      <w:r w:rsidR="00DD7089" w:rsidRPr="00DD7089">
        <w:rPr>
          <w:rFonts w:ascii="Arial" w:hAnsi="Arial" w:cs="Arial"/>
          <w:sz w:val="20"/>
          <w:szCs w:val="20"/>
        </w:rPr>
        <w:t>Photography</w:t>
      </w:r>
    </w:p>
    <w:p w14:paraId="2ECFB103" w14:textId="77777777" w:rsidR="0036369D" w:rsidRPr="0036369D" w:rsidRDefault="0036369D" w:rsidP="0036369D">
      <w:pPr>
        <w:spacing w:before="0"/>
        <w:ind w:right="8"/>
        <w:contextualSpacing/>
        <w:rPr>
          <w:rFonts w:ascii="Arial" w:hAnsi="Arial" w:cs="Arial"/>
          <w:sz w:val="20"/>
          <w:szCs w:val="20"/>
        </w:rPr>
      </w:pPr>
    </w:p>
    <w:p w14:paraId="7ADE2CF3" w14:textId="54DC9F14" w:rsidR="00BD6754" w:rsidRPr="0036369D" w:rsidRDefault="00873A88" w:rsidP="0036369D">
      <w:pPr>
        <w:spacing w:before="0"/>
        <w:ind w:right="8"/>
        <w:contextualSpacing/>
        <w:rPr>
          <w:rStyle w:val="event-description"/>
          <w:rFonts w:ascii="Arial" w:hAnsi="Arial" w:cs="Arial"/>
          <w:sz w:val="20"/>
          <w:szCs w:val="20"/>
        </w:rPr>
      </w:pPr>
      <w:r w:rsidRPr="0036369D">
        <w:rPr>
          <w:rFonts w:ascii="Arial" w:hAnsi="Arial" w:cs="Arial"/>
          <w:sz w:val="20"/>
          <w:szCs w:val="20"/>
        </w:rPr>
        <w:lastRenderedPageBreak/>
        <w:t xml:space="preserve">To learn more about Rockfon’s acoustic ceiling products, please call 800-323-7164, email </w:t>
      </w:r>
      <w:hyperlink r:id="rId8" w:history="1">
        <w:r w:rsidRPr="0036369D">
          <w:rPr>
            <w:rStyle w:val="Hyperlink"/>
            <w:rFonts w:ascii="Arial" w:hAnsi="Arial" w:cs="Arial"/>
            <w:sz w:val="20"/>
            <w:szCs w:val="20"/>
          </w:rPr>
          <w:t>cs@rockfon.com</w:t>
        </w:r>
      </w:hyperlink>
      <w:r w:rsidRPr="0036369D">
        <w:rPr>
          <w:rFonts w:ascii="Arial" w:hAnsi="Arial" w:cs="Arial"/>
          <w:sz w:val="20"/>
          <w:szCs w:val="20"/>
        </w:rPr>
        <w:t xml:space="preserve"> or visit </w:t>
      </w:r>
      <w:hyperlink r:id="rId9" w:history="1">
        <w:r w:rsidR="00BD6754" w:rsidRPr="0036369D">
          <w:rPr>
            <w:rStyle w:val="Hyperlink"/>
            <w:rFonts w:ascii="Arial" w:hAnsi="Arial" w:cs="Arial"/>
            <w:sz w:val="20"/>
            <w:szCs w:val="20"/>
          </w:rPr>
          <w:t>www.rockfon.com</w:t>
        </w:r>
      </w:hyperlink>
      <w:r w:rsidR="00BD6754" w:rsidRPr="0036369D">
        <w:rPr>
          <w:rFonts w:ascii="Arial" w:eastAsia="Times New Roman" w:hAnsi="Arial" w:cs="Arial"/>
          <w:sz w:val="20"/>
          <w:szCs w:val="20"/>
        </w:rPr>
        <w:t>.</w:t>
      </w:r>
    </w:p>
    <w:p w14:paraId="76D5BB28" w14:textId="77777777" w:rsidR="00BD6754" w:rsidRPr="00C0637C" w:rsidRDefault="00BD6754" w:rsidP="00C0637C">
      <w:pPr>
        <w:spacing w:before="0"/>
        <w:contextualSpacing/>
        <w:rPr>
          <w:sz w:val="20"/>
          <w:szCs w:val="20"/>
        </w:rPr>
      </w:pPr>
    </w:p>
    <w:p w14:paraId="60DB9475" w14:textId="77777777" w:rsidR="00BD6754" w:rsidRPr="00C0637C" w:rsidRDefault="00BD6754" w:rsidP="00C0637C">
      <w:pPr>
        <w:spacing w:before="0"/>
        <w:contextualSpacing/>
        <w:rPr>
          <w:sz w:val="20"/>
          <w:szCs w:val="20"/>
        </w:rPr>
      </w:pPr>
    </w:p>
    <w:p w14:paraId="01FE5BCA" w14:textId="77777777" w:rsidR="00C0637C" w:rsidRPr="00C0637C" w:rsidRDefault="00C0637C" w:rsidP="00C0637C">
      <w:pPr>
        <w:spacing w:before="0"/>
        <w:contextualSpacing/>
        <w:rPr>
          <w:b/>
          <w:bCs/>
          <w:sz w:val="20"/>
          <w:szCs w:val="20"/>
        </w:rPr>
      </w:pPr>
      <w:r w:rsidRPr="00C0637C">
        <w:rPr>
          <w:b/>
          <w:bCs/>
          <w:sz w:val="20"/>
          <w:szCs w:val="20"/>
        </w:rPr>
        <w:t>About Rockfon</w:t>
      </w:r>
    </w:p>
    <w:p w14:paraId="6C824638" w14:textId="16140E88" w:rsidR="00C0637C" w:rsidRDefault="00C0637C" w:rsidP="00C0637C">
      <w:pPr>
        <w:spacing w:before="0"/>
        <w:contextualSpacing/>
        <w:rPr>
          <w:sz w:val="20"/>
          <w:szCs w:val="20"/>
        </w:rPr>
      </w:pPr>
      <w:r w:rsidRPr="00C0637C">
        <w:rPr>
          <w:sz w:val="20"/>
          <w:szCs w:val="20"/>
        </w:rPr>
        <w:t>Rockfon is part of ROCKWOOL Group and is offering advanced acoustic ceilings and wall solutions to create beautiful, comfortable spaces.</w:t>
      </w:r>
    </w:p>
    <w:p w14:paraId="1A7E2917" w14:textId="77777777" w:rsidR="00C0637C" w:rsidRPr="00C0637C" w:rsidRDefault="00C0637C" w:rsidP="00C0637C">
      <w:pPr>
        <w:spacing w:before="0"/>
        <w:contextualSpacing/>
        <w:rPr>
          <w:sz w:val="20"/>
          <w:szCs w:val="20"/>
        </w:rPr>
      </w:pPr>
    </w:p>
    <w:p w14:paraId="5CCCD4B8" w14:textId="74FB0BE1" w:rsidR="00C0637C" w:rsidRDefault="00C0637C" w:rsidP="00C0637C">
      <w:pPr>
        <w:spacing w:before="0"/>
        <w:contextualSpacing/>
        <w:rPr>
          <w:sz w:val="20"/>
          <w:szCs w:val="20"/>
        </w:rPr>
      </w:pPr>
      <w:r w:rsidRPr="00C0637C">
        <w:rPr>
          <w:sz w:val="20"/>
          <w:szCs w:val="20"/>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5E039D3D" w14:textId="77777777" w:rsidR="00C0637C" w:rsidRPr="00C0637C" w:rsidRDefault="00C0637C" w:rsidP="00C0637C">
      <w:pPr>
        <w:spacing w:before="0"/>
        <w:contextualSpacing/>
        <w:rPr>
          <w:sz w:val="20"/>
          <w:szCs w:val="20"/>
        </w:rPr>
      </w:pPr>
    </w:p>
    <w:p w14:paraId="390972C8" w14:textId="77777777" w:rsidR="00C0637C" w:rsidRPr="00C0637C" w:rsidRDefault="00C0637C" w:rsidP="00C0637C">
      <w:pPr>
        <w:spacing w:before="0"/>
        <w:contextualSpacing/>
        <w:rPr>
          <w:sz w:val="20"/>
          <w:szCs w:val="20"/>
        </w:rPr>
      </w:pPr>
      <w:r w:rsidRPr="00C0637C">
        <w:rPr>
          <w:sz w:val="20"/>
          <w:szCs w:val="20"/>
        </w:rPr>
        <w:t>Stone wool is a versatile material and forms the basis of all our businesses. With 11,700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3A8537A0" w14:textId="77777777" w:rsidR="00C0637C" w:rsidRPr="00C0637C" w:rsidRDefault="00C0637C" w:rsidP="00C0637C">
      <w:pPr>
        <w:spacing w:before="0"/>
        <w:contextualSpacing/>
        <w:jc w:val="center"/>
        <w:rPr>
          <w:sz w:val="20"/>
          <w:szCs w:val="20"/>
        </w:rPr>
      </w:pPr>
      <w:r w:rsidRPr="00C0637C">
        <w:rPr>
          <w:sz w:val="20"/>
          <w:szCs w:val="20"/>
        </w:rPr>
        <w:t>###</w:t>
      </w:r>
    </w:p>
    <w:p w14:paraId="05E8E800" w14:textId="50AF349D" w:rsidR="00576A83" w:rsidRPr="00C0637C" w:rsidRDefault="00576A83" w:rsidP="00C0637C">
      <w:pPr>
        <w:spacing w:before="0"/>
        <w:contextualSpacing/>
        <w:rPr>
          <w:sz w:val="20"/>
          <w:szCs w:val="20"/>
        </w:rPr>
      </w:pPr>
    </w:p>
    <w:sectPr w:rsidR="00576A83" w:rsidRPr="00C0637C"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A658" w14:textId="77777777" w:rsidR="00EF0D3B" w:rsidRDefault="00EF0D3B" w:rsidP="00746BC4">
      <w:pPr>
        <w:spacing w:before="0"/>
      </w:pPr>
      <w:r>
        <w:separator/>
      </w:r>
    </w:p>
  </w:endnote>
  <w:endnote w:type="continuationSeparator" w:id="0">
    <w:p w14:paraId="33A0400B" w14:textId="77777777" w:rsidR="00EF0D3B" w:rsidRDefault="00EF0D3B"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altName w:val="Avenir LT Pro 45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BD6C" w14:textId="77777777" w:rsidR="00EF0D3B" w:rsidRDefault="00EF0D3B" w:rsidP="00746BC4">
      <w:pPr>
        <w:spacing w:before="0"/>
      </w:pPr>
      <w:r>
        <w:separator/>
      </w:r>
    </w:p>
  </w:footnote>
  <w:footnote w:type="continuationSeparator" w:id="0">
    <w:p w14:paraId="7C76197C" w14:textId="77777777" w:rsidR="00EF0D3B" w:rsidRDefault="00EF0D3B"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B03A6"/>
    <w:multiLevelType w:val="hybridMultilevel"/>
    <w:tmpl w:val="966890D0"/>
    <w:numStyleLink w:val="ImportedStyle1"/>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5"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DA1275"/>
    <w:multiLevelType w:val="hybridMultilevel"/>
    <w:tmpl w:val="966890D0"/>
    <w:numStyleLink w:val="ImportedStyle1"/>
  </w:abstractNum>
  <w:abstractNum w:abstractNumId="36"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36"/>
  </w:num>
  <w:num w:numId="3">
    <w:abstractNumId w:val="0"/>
  </w:num>
  <w:num w:numId="4">
    <w:abstractNumId w:val="20"/>
  </w:num>
  <w:num w:numId="5">
    <w:abstractNumId w:val="19"/>
  </w:num>
  <w:num w:numId="6">
    <w:abstractNumId w:val="29"/>
  </w:num>
  <w:num w:numId="7">
    <w:abstractNumId w:val="27"/>
  </w:num>
  <w:num w:numId="8">
    <w:abstractNumId w:val="25"/>
  </w:num>
  <w:num w:numId="9">
    <w:abstractNumId w:val="30"/>
  </w:num>
  <w:num w:numId="10">
    <w:abstractNumId w:val="38"/>
  </w:num>
  <w:num w:numId="11">
    <w:abstractNumId w:val="8"/>
  </w:num>
  <w:num w:numId="12">
    <w:abstractNumId w:val="34"/>
  </w:num>
  <w:num w:numId="13">
    <w:abstractNumId w:val="3"/>
  </w:num>
  <w:num w:numId="14">
    <w:abstractNumId w:val="23"/>
  </w:num>
  <w:num w:numId="15">
    <w:abstractNumId w:val="18"/>
  </w:num>
  <w:num w:numId="16">
    <w:abstractNumId w:val="21"/>
  </w:num>
  <w:num w:numId="17">
    <w:abstractNumId w:val="22"/>
  </w:num>
  <w:num w:numId="18">
    <w:abstractNumId w:val="31"/>
  </w:num>
  <w:num w:numId="19">
    <w:abstractNumId w:val="33"/>
  </w:num>
  <w:num w:numId="20">
    <w:abstractNumId w:val="10"/>
  </w:num>
  <w:num w:numId="21">
    <w:abstractNumId w:val="5"/>
  </w:num>
  <w:num w:numId="22">
    <w:abstractNumId w:val="13"/>
  </w:num>
  <w:num w:numId="23">
    <w:abstractNumId w:val="4"/>
  </w:num>
  <w:num w:numId="24">
    <w:abstractNumId w:val="9"/>
  </w:num>
  <w:num w:numId="25">
    <w:abstractNumId w:val="1"/>
  </w:num>
  <w:num w:numId="26">
    <w:abstractNumId w:val="14"/>
  </w:num>
  <w:num w:numId="27">
    <w:abstractNumId w:val="11"/>
  </w:num>
  <w:num w:numId="28">
    <w:abstractNumId w:val="6"/>
  </w:num>
  <w:num w:numId="29">
    <w:abstractNumId w:val="24"/>
  </w:num>
  <w:num w:numId="30">
    <w:abstractNumId w:val="37"/>
  </w:num>
  <w:num w:numId="31">
    <w:abstractNumId w:val="32"/>
  </w:num>
  <w:num w:numId="32">
    <w:abstractNumId w:val="28"/>
  </w:num>
  <w:num w:numId="33">
    <w:abstractNumId w:val="15"/>
  </w:num>
  <w:num w:numId="34">
    <w:abstractNumId w:val="12"/>
  </w:num>
  <w:num w:numId="35">
    <w:abstractNumId w:val="16"/>
  </w:num>
  <w:num w:numId="36">
    <w:abstractNumId w:val="2"/>
  </w:num>
  <w:num w:numId="37">
    <w:abstractNumId w:val="35"/>
  </w:num>
  <w:num w:numId="38">
    <w:abstractNumId w:val="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7EC6"/>
    <w:rsid w:val="0005058E"/>
    <w:rsid w:val="00062D71"/>
    <w:rsid w:val="00063335"/>
    <w:rsid w:val="00065BE7"/>
    <w:rsid w:val="00066589"/>
    <w:rsid w:val="00073588"/>
    <w:rsid w:val="00081277"/>
    <w:rsid w:val="00085BD8"/>
    <w:rsid w:val="00087416"/>
    <w:rsid w:val="000955BD"/>
    <w:rsid w:val="000A019E"/>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CCB"/>
    <w:rsid w:val="003931BE"/>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A739B"/>
    <w:rsid w:val="004B2638"/>
    <w:rsid w:val="004B60EF"/>
    <w:rsid w:val="004C35D4"/>
    <w:rsid w:val="004C6A39"/>
    <w:rsid w:val="004D3557"/>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115"/>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A6026"/>
    <w:rsid w:val="007B0609"/>
    <w:rsid w:val="007B66BE"/>
    <w:rsid w:val="007C0260"/>
    <w:rsid w:val="007C3BA6"/>
    <w:rsid w:val="007C6E25"/>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9D5"/>
    <w:rsid w:val="00A47F2F"/>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06C3"/>
    <w:rsid w:val="00BC53B1"/>
    <w:rsid w:val="00BC5D4B"/>
    <w:rsid w:val="00BD42AD"/>
    <w:rsid w:val="00BD6754"/>
    <w:rsid w:val="00BE6DCE"/>
    <w:rsid w:val="00BE6ED7"/>
    <w:rsid w:val="00BE71F2"/>
    <w:rsid w:val="00BF03A5"/>
    <w:rsid w:val="00BF0F48"/>
    <w:rsid w:val="00BF5CB8"/>
    <w:rsid w:val="00C0637C"/>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ED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0CB1"/>
    <w:rsid w:val="00D947C0"/>
    <w:rsid w:val="00D9494E"/>
    <w:rsid w:val="00D95C39"/>
    <w:rsid w:val="00D95D15"/>
    <w:rsid w:val="00DA1CC6"/>
    <w:rsid w:val="00DB1828"/>
    <w:rsid w:val="00DB2DF5"/>
    <w:rsid w:val="00DB4E32"/>
    <w:rsid w:val="00DC7AE1"/>
    <w:rsid w:val="00DD2599"/>
    <w:rsid w:val="00DD3DC3"/>
    <w:rsid w:val="00DD7089"/>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C67B8"/>
    <w:rsid w:val="00ED207B"/>
    <w:rsid w:val="00ED40C5"/>
    <w:rsid w:val="00EF0D3B"/>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character" w:styleId="Emphasis">
    <w:name w:val="Emphasis"/>
    <w:basedOn w:val="DefaultParagraphFont"/>
    <w:uiPriority w:val="20"/>
    <w:qFormat/>
    <w:rsid w:val="00C06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33155959">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5</cp:revision>
  <cp:lastPrinted>2017-06-16T00:15:00Z</cp:lastPrinted>
  <dcterms:created xsi:type="dcterms:W3CDTF">2020-08-09T20:57:00Z</dcterms:created>
  <dcterms:modified xsi:type="dcterms:W3CDTF">2020-09-16T15:10:00Z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