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79E790F0" w:rsidR="00305DAD" w:rsidRPr="00D9258D" w:rsidRDefault="00845556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January</w:t>
      </w:r>
      <w:r w:rsidR="004D6248">
        <w:rPr>
          <w:b w:val="0"/>
          <w:sz w:val="24"/>
          <w:szCs w:val="24"/>
          <w:highlight w:val="yellow"/>
        </w:rPr>
        <w:t xml:space="preserve"> </w:t>
      </w:r>
      <w:r w:rsidR="00010BB3">
        <w:rPr>
          <w:b w:val="0"/>
          <w:sz w:val="24"/>
          <w:szCs w:val="24"/>
          <w:highlight w:val="yellow"/>
        </w:rPr>
        <w:t>24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E16E58">
        <w:rPr>
          <w:b w:val="0"/>
          <w:sz w:val="24"/>
          <w:szCs w:val="24"/>
          <w:highlight w:val="yellow"/>
        </w:rPr>
        <w:t>202</w:t>
      </w:r>
      <w:r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AA3F3DE" w:rsidR="00305DAD" w:rsidRPr="00D9258D" w:rsidRDefault="00060FA3" w:rsidP="0038384C">
      <w:pPr>
        <w:pStyle w:val="Title"/>
        <w:spacing w:after="240"/>
        <w:rPr>
          <w:color w:val="auto"/>
        </w:rPr>
      </w:pPr>
      <w:r w:rsidRPr="00010BB3">
        <w:rPr>
          <w:color w:val="auto"/>
        </w:rPr>
        <w:t xml:space="preserve">FGIA </w:t>
      </w:r>
      <w:r w:rsidR="000E07D9" w:rsidRPr="00010BB3">
        <w:rPr>
          <w:color w:val="auto"/>
        </w:rPr>
        <w:t xml:space="preserve">Releases </w:t>
      </w:r>
      <w:r w:rsidR="00361A0D" w:rsidRPr="00010BB3">
        <w:rPr>
          <w:color w:val="auto"/>
        </w:rPr>
        <w:t xml:space="preserve">Updated </w:t>
      </w:r>
      <w:r w:rsidR="00010BB3" w:rsidRPr="00010BB3">
        <w:rPr>
          <w:color w:val="auto"/>
        </w:rPr>
        <w:t>Field Testing Document for Evaluating Fenestration Product Water Intrusion</w:t>
      </w:r>
    </w:p>
    <w:p w14:paraId="0B6441EE" w14:textId="5FEBD05B" w:rsidR="000F4954" w:rsidRPr="00010BB3" w:rsidRDefault="00A41F02" w:rsidP="00010BB3">
      <w:r w:rsidRPr="000E07D9">
        <w:t xml:space="preserve">SCHAUMBURG, IL </w:t>
      </w:r>
      <w:r w:rsidR="00723E5F" w:rsidRPr="000E07D9">
        <w:t>–</w:t>
      </w:r>
      <w:r w:rsidR="005C7D7D" w:rsidRPr="000E07D9">
        <w:t xml:space="preserve"> </w:t>
      </w:r>
      <w:r w:rsidR="00E16E58" w:rsidRPr="00010BB3">
        <w:rPr>
          <w:szCs w:val="22"/>
        </w:rPr>
        <w:t>The Fenestration and Glazing Industry Alliance (FGIA) has</w:t>
      </w:r>
      <w:r w:rsidR="00361A0D" w:rsidRPr="00010BB3">
        <w:rPr>
          <w:szCs w:val="22"/>
        </w:rPr>
        <w:t xml:space="preserve"> updated </w:t>
      </w:r>
      <w:r w:rsidR="00001E6D" w:rsidRPr="00010BB3">
        <w:rPr>
          <w:szCs w:val="22"/>
        </w:rPr>
        <w:t xml:space="preserve">a document </w:t>
      </w:r>
      <w:r w:rsidR="00010BB3" w:rsidRPr="00010BB3">
        <w:rPr>
          <w:szCs w:val="22"/>
        </w:rPr>
        <w:t>provid</w:t>
      </w:r>
      <w:r w:rsidR="00010BB3">
        <w:rPr>
          <w:szCs w:val="22"/>
        </w:rPr>
        <w:t>ing</w:t>
      </w:r>
      <w:r w:rsidR="00010BB3" w:rsidRPr="00010BB3">
        <w:rPr>
          <w:szCs w:val="22"/>
        </w:rPr>
        <w:t xml:space="preserve"> specific information to assist industry professionals in selecting the</w:t>
      </w:r>
      <w:r w:rsidR="00010BB3">
        <w:rPr>
          <w:szCs w:val="22"/>
        </w:rPr>
        <w:t xml:space="preserve"> </w:t>
      </w:r>
      <w:r w:rsidR="00010BB3" w:rsidRPr="00010BB3">
        <w:rPr>
          <w:szCs w:val="22"/>
        </w:rPr>
        <w:t>appropriate adaptations to the existing testing standards for application to field investigations of fenestration products</w:t>
      </w:r>
      <w:r w:rsidR="00E16E58" w:rsidRPr="00010BB3">
        <w:rPr>
          <w:szCs w:val="22"/>
        </w:rPr>
        <w:t xml:space="preserve">. </w:t>
      </w:r>
      <w:hyperlink r:id="rId10" w:history="1">
        <w:r w:rsidR="00010BB3" w:rsidRPr="00010BB3">
          <w:rPr>
            <w:rStyle w:val="Hyperlink"/>
            <w:sz w:val="22"/>
            <w:szCs w:val="22"/>
          </w:rPr>
          <w:t>AAMA 511-22</w:t>
        </w:r>
      </w:hyperlink>
      <w:r w:rsidR="00E16E58" w:rsidRPr="00010BB3">
        <w:rPr>
          <w:szCs w:val="22"/>
        </w:rPr>
        <w:t xml:space="preserve">, </w:t>
      </w:r>
      <w:r w:rsidR="00010BB3" w:rsidRPr="00010BB3">
        <w:rPr>
          <w:i/>
          <w:iCs/>
          <w:szCs w:val="22"/>
        </w:rPr>
        <w:t>Voluntary Guide for the Forensic Evaluation of Water Intrusion at Fenestration Products</w:t>
      </w:r>
      <w:r w:rsidR="00C12A15" w:rsidRPr="00010BB3">
        <w:rPr>
          <w:szCs w:val="22"/>
        </w:rPr>
        <w:t>,</w:t>
      </w:r>
      <w:r w:rsidR="003924F4" w:rsidRPr="00010BB3">
        <w:rPr>
          <w:szCs w:val="22"/>
        </w:rPr>
        <w:t xml:space="preserve"> is </w:t>
      </w:r>
      <w:r w:rsidR="00E16E58" w:rsidRPr="00010BB3">
        <w:rPr>
          <w:szCs w:val="22"/>
        </w:rPr>
        <w:t>now available for purc</w:t>
      </w:r>
      <w:r w:rsidR="00E16E58" w:rsidRPr="00010BB3">
        <w:t xml:space="preserve">hase. </w:t>
      </w:r>
      <w:r w:rsidR="00010BB3" w:rsidRPr="00010BB3">
        <w:t xml:space="preserve">This document was last updated in 2008. </w:t>
      </w:r>
    </w:p>
    <w:p w14:paraId="1145170C" w14:textId="2D7EA85D" w:rsidR="00010BB3" w:rsidRPr="00EE2888" w:rsidRDefault="00010BB3" w:rsidP="00010BB3">
      <w:pPr>
        <w:rPr>
          <w:rFonts w:eastAsiaTheme="minorHAnsi"/>
        </w:rPr>
      </w:pPr>
      <w:r w:rsidRPr="00010BB3">
        <w:t>ASTM E2128</w:t>
      </w:r>
      <w:r>
        <w:t xml:space="preserve"> </w:t>
      </w:r>
      <w:r w:rsidRPr="00010BB3">
        <w:t>provides the foundation for field investigations of water leakage in building walls</w:t>
      </w:r>
      <w:r w:rsidR="00EE2888">
        <w:t xml:space="preserve">. </w:t>
      </w:r>
      <w:r w:rsidRPr="00010BB3">
        <w:t>This document is designed to provide supplemental</w:t>
      </w:r>
      <w:r>
        <w:t xml:space="preserve"> </w:t>
      </w:r>
      <w:r w:rsidRPr="00010BB3">
        <w:t>guidance and highlight required information and actions regarding fenestration product investigations. ASTM E2128 identifies seven</w:t>
      </w:r>
      <w:r>
        <w:t xml:space="preserve"> </w:t>
      </w:r>
      <w:r w:rsidRPr="00010BB3">
        <w:t>steps of forensic investigations, and this document provides additional information regarding each step, grouped into two categories:</w:t>
      </w:r>
      <w:r>
        <w:t xml:space="preserve"> </w:t>
      </w:r>
      <w:r w:rsidRPr="00010BB3">
        <w:t>four steps prior to testing and three steps during and after testing.</w:t>
      </w:r>
    </w:p>
    <w:p w14:paraId="5D6A7509" w14:textId="38CAEF15" w:rsidR="00010BB3" w:rsidRPr="00EE2888" w:rsidRDefault="00EE2888" w:rsidP="00010BB3">
      <w:pPr>
        <w:rPr>
          <w:rFonts w:eastAsiaTheme="minorHAnsi"/>
        </w:rPr>
      </w:pPr>
      <w:r>
        <w:t>“</w:t>
      </w:r>
      <w:r w:rsidR="00010BB3" w:rsidRPr="00010BB3">
        <w:t>Building damage caused by uncontrolled water penetration through exterior walls is a serious concern of owners, contractors, architects</w:t>
      </w:r>
      <w:r w:rsidR="00010BB3">
        <w:t xml:space="preserve"> </w:t>
      </w:r>
      <w:r w:rsidR="00010BB3" w:rsidRPr="00010BB3">
        <w:t>and product manufacturers</w:t>
      </w:r>
      <w:r>
        <w:t>,</w:t>
      </w:r>
      <w:r w:rsidR="00D834C8">
        <w:t>”</w:t>
      </w:r>
      <w:r>
        <w:t xml:space="preserve"> said </w:t>
      </w:r>
      <w:r>
        <w:rPr>
          <w:rFonts w:eastAsiaTheme="minorHAnsi"/>
        </w:rPr>
        <w:t>Dan Johnson (</w:t>
      </w:r>
      <w:hyperlink r:id="rId11" w:history="1">
        <w:r w:rsidRPr="00EE2888">
          <w:rPr>
            <w:rStyle w:val="Hyperlink"/>
            <w:rFonts w:eastAsiaTheme="minorHAnsi"/>
            <w:b/>
            <w:bCs/>
            <w:sz w:val="22"/>
          </w:rPr>
          <w:t>GCI Consultants</w:t>
        </w:r>
      </w:hyperlink>
      <w:r>
        <w:rPr>
          <w:rFonts w:eastAsiaTheme="minorHAnsi"/>
        </w:rPr>
        <w:t xml:space="preserve">), Co-Chair of the </w:t>
      </w:r>
      <w:r>
        <w:t>AAMA 502/511 Field Test and Forensic Investigation Document Update Task Group</w:t>
      </w:r>
      <w:r w:rsidR="00010BB3" w:rsidRPr="00010BB3">
        <w:t xml:space="preserve">. </w:t>
      </w:r>
      <w:r>
        <w:t>“</w:t>
      </w:r>
      <w:r w:rsidR="00010BB3" w:rsidRPr="00010BB3">
        <w:t>Often, improper or inadequate leak investigations and testing result in investigators misidentifying the</w:t>
      </w:r>
      <w:r w:rsidR="00010BB3">
        <w:t xml:space="preserve"> </w:t>
      </w:r>
      <w:r w:rsidR="00010BB3" w:rsidRPr="00010BB3">
        <w:t>source of water penetration through the exterior wall.</w:t>
      </w:r>
      <w:r>
        <w:t>”</w:t>
      </w:r>
    </w:p>
    <w:p w14:paraId="62BE8B2B" w14:textId="56D11908" w:rsidR="00010BB3" w:rsidRPr="00010BB3" w:rsidRDefault="00010BB3" w:rsidP="00010BB3">
      <w:r w:rsidRPr="00010BB3">
        <w:t>In many cases, this error results from observations of water penetration at or near a fenestration product opening that may originate</w:t>
      </w:r>
      <w:r>
        <w:t xml:space="preserve"> </w:t>
      </w:r>
      <w:r w:rsidRPr="00010BB3">
        <w:t>from the surrounding construction</w:t>
      </w:r>
      <w:r w:rsidR="00EE2888">
        <w:t>, Johnson continued</w:t>
      </w:r>
      <w:r w:rsidRPr="00010BB3">
        <w:t>. In other cases, the water penetration is a combination of sources which may be inclusive of the</w:t>
      </w:r>
      <w:r>
        <w:t xml:space="preserve"> </w:t>
      </w:r>
      <w:r w:rsidRPr="00010BB3">
        <w:t>fenestration product assemblies. A systematic forensic investigation of the water penetration is required to determine the actual source</w:t>
      </w:r>
      <w:r>
        <w:t xml:space="preserve"> </w:t>
      </w:r>
      <w:r w:rsidRPr="00010BB3">
        <w:t>of the leak.</w:t>
      </w:r>
    </w:p>
    <w:p w14:paraId="70AE0D04" w14:textId="6A9B36A2" w:rsidR="00010BB3" w:rsidRPr="00010BB3" w:rsidRDefault="00EE2888" w:rsidP="00010BB3">
      <w:r>
        <w:t>“</w:t>
      </w:r>
      <w:r w:rsidR="00010BB3" w:rsidRPr="00010BB3">
        <w:t>Diagnostic testing is an integral part of this systematic investigation</w:t>
      </w:r>
      <w:r>
        <w:t xml:space="preserve">,” said </w:t>
      </w:r>
      <w:r>
        <w:rPr>
          <w:rFonts w:eastAsiaTheme="minorHAnsi"/>
        </w:rPr>
        <w:t>Joe Hayden (</w:t>
      </w:r>
      <w:hyperlink r:id="rId12" w:history="1">
        <w:r w:rsidRPr="00EE2888">
          <w:rPr>
            <w:rStyle w:val="Hyperlink"/>
            <w:rFonts w:eastAsiaTheme="minorHAnsi"/>
            <w:b/>
            <w:bCs/>
            <w:sz w:val="22"/>
          </w:rPr>
          <w:t>Pella Corporation</w:t>
        </w:r>
      </w:hyperlink>
      <w:r>
        <w:rPr>
          <w:rFonts w:eastAsiaTheme="minorHAnsi"/>
        </w:rPr>
        <w:t xml:space="preserve">), Co-Chair of the </w:t>
      </w:r>
      <w:r>
        <w:t>AAMA 502/511 Field Test and Forensic Investigation Document Update Task Group</w:t>
      </w:r>
      <w:r w:rsidRPr="00010BB3">
        <w:t xml:space="preserve">. </w:t>
      </w:r>
      <w:r>
        <w:lastRenderedPageBreak/>
        <w:t>“H</w:t>
      </w:r>
      <w:r w:rsidR="00010BB3" w:rsidRPr="00010BB3">
        <w:t>owever, this type of testing differs significantly from other</w:t>
      </w:r>
      <w:r w:rsidR="00010BB3">
        <w:t xml:space="preserve"> </w:t>
      </w:r>
      <w:r w:rsidR="00010BB3" w:rsidRPr="00010BB3">
        <w:t>AAMA testing documents. The purpose of forensic evaluation, as specified in this guide, is to recreate water leaks that are known to</w:t>
      </w:r>
      <w:r w:rsidR="00010BB3">
        <w:t xml:space="preserve"> </w:t>
      </w:r>
      <w:r w:rsidR="00010BB3" w:rsidRPr="00010BB3">
        <w:t>occur.</w:t>
      </w:r>
      <w:r>
        <w:t>”</w:t>
      </w:r>
    </w:p>
    <w:p w14:paraId="1157E7E5" w14:textId="68305DA3" w:rsidR="00E16E58" w:rsidRDefault="005F4BE5" w:rsidP="00E16E58">
      <w:pPr>
        <w:rPr>
          <w:szCs w:val="22"/>
        </w:rPr>
      </w:pPr>
      <w:hyperlink r:id="rId13" w:history="1">
        <w:r w:rsidR="00010BB3">
          <w:rPr>
            <w:rStyle w:val="Hyperlink"/>
            <w:sz w:val="22"/>
            <w:szCs w:val="22"/>
          </w:rPr>
          <w:t>AAMA 511-22</w:t>
        </w:r>
      </w:hyperlink>
      <w:r w:rsidR="00E16E58" w:rsidRPr="000E07D9">
        <w:t xml:space="preserve">, </w:t>
      </w:r>
      <w:r w:rsidR="00E16E58" w:rsidRPr="000E07D9">
        <w:rPr>
          <w:szCs w:val="22"/>
        </w:rPr>
        <w:t>as well as other AAMA documents available from FGIA, may be purchased from the online store at the discounted member rate of $20 or the non-member price of $60.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4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2745" w14:textId="77777777" w:rsidR="00BF5DF7" w:rsidRDefault="00BF5DF7">
      <w:pPr>
        <w:spacing w:after="0" w:line="240" w:lineRule="auto"/>
      </w:pPr>
      <w:r>
        <w:separator/>
      </w:r>
    </w:p>
  </w:endnote>
  <w:endnote w:type="continuationSeparator" w:id="0">
    <w:p w14:paraId="216DD9D5" w14:textId="77777777" w:rsidR="00BF5DF7" w:rsidRDefault="00BF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B76B" w14:textId="77777777" w:rsidR="00BF5DF7" w:rsidRDefault="00BF5DF7">
      <w:pPr>
        <w:spacing w:after="0" w:line="240" w:lineRule="auto"/>
      </w:pPr>
      <w:r>
        <w:separator/>
      </w:r>
    </w:p>
  </w:footnote>
  <w:footnote w:type="continuationSeparator" w:id="0">
    <w:p w14:paraId="7B5EC3A6" w14:textId="77777777" w:rsidR="00BF5DF7" w:rsidRDefault="00BF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1"/>
  </w:num>
  <w:num w:numId="3" w16cid:durableId="1393655226">
    <w:abstractNumId w:val="6"/>
  </w:num>
  <w:num w:numId="4" w16cid:durableId="367335107">
    <w:abstractNumId w:val="2"/>
  </w:num>
  <w:num w:numId="5" w16cid:durableId="963190756">
    <w:abstractNumId w:val="10"/>
  </w:num>
  <w:num w:numId="6" w16cid:durableId="1394157335">
    <w:abstractNumId w:val="0"/>
  </w:num>
  <w:num w:numId="7" w16cid:durableId="2069499069">
    <w:abstractNumId w:val="3"/>
  </w:num>
  <w:num w:numId="8" w16cid:durableId="2031713121">
    <w:abstractNumId w:val="1"/>
  </w:num>
  <w:num w:numId="9" w16cid:durableId="1690252387">
    <w:abstractNumId w:val="5"/>
  </w:num>
  <w:num w:numId="10" w16cid:durableId="852377181">
    <w:abstractNumId w:val="12"/>
  </w:num>
  <w:num w:numId="11" w16cid:durableId="604385054">
    <w:abstractNumId w:val="7"/>
  </w:num>
  <w:num w:numId="12" w16cid:durableId="848107054">
    <w:abstractNumId w:val="4"/>
  </w:num>
  <w:num w:numId="13" w16cid:durableId="1750736217">
    <w:abstractNumId w:val="13"/>
  </w:num>
  <w:num w:numId="14" w16cid:durableId="1401749573">
    <w:abstractNumId w:val="8"/>
  </w:num>
  <w:num w:numId="15" w16cid:durableId="1086221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4E59"/>
    <w:rsid w:val="000324E7"/>
    <w:rsid w:val="0003619E"/>
    <w:rsid w:val="00037F97"/>
    <w:rsid w:val="000457C3"/>
    <w:rsid w:val="0004674B"/>
    <w:rsid w:val="000468D2"/>
    <w:rsid w:val="00051C6E"/>
    <w:rsid w:val="00052F0A"/>
    <w:rsid w:val="00060FA3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07D9"/>
    <w:rsid w:val="000E1D4F"/>
    <w:rsid w:val="000E2578"/>
    <w:rsid w:val="000E28AE"/>
    <w:rsid w:val="000E2B1B"/>
    <w:rsid w:val="000F28C4"/>
    <w:rsid w:val="000F32D4"/>
    <w:rsid w:val="000F495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72068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363"/>
    <w:rsid w:val="004C65DB"/>
    <w:rsid w:val="004D07F0"/>
    <w:rsid w:val="004D6248"/>
    <w:rsid w:val="004E37DE"/>
    <w:rsid w:val="004E46FE"/>
    <w:rsid w:val="004E5DB8"/>
    <w:rsid w:val="004F194C"/>
    <w:rsid w:val="004F3A25"/>
    <w:rsid w:val="004F6E72"/>
    <w:rsid w:val="00501D8F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76A2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4BE5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73F6"/>
    <w:rsid w:val="00697799"/>
    <w:rsid w:val="006A31FF"/>
    <w:rsid w:val="006A5BEE"/>
    <w:rsid w:val="006A7239"/>
    <w:rsid w:val="006C0D08"/>
    <w:rsid w:val="006C294F"/>
    <w:rsid w:val="006C5F6E"/>
    <w:rsid w:val="006C7A51"/>
    <w:rsid w:val="006C7A6C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E3DFE"/>
    <w:rsid w:val="007F075D"/>
    <w:rsid w:val="007F0777"/>
    <w:rsid w:val="007F4D3C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556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069FC"/>
    <w:rsid w:val="00B109C8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63FA"/>
    <w:rsid w:val="00C12A15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7905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E58"/>
    <w:rsid w:val="00E233F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3D5E"/>
    <w:rsid w:val="00EB550F"/>
    <w:rsid w:val="00EB64A8"/>
    <w:rsid w:val="00EC071F"/>
    <w:rsid w:val="00EC72E9"/>
    <w:rsid w:val="00EE04B8"/>
    <w:rsid w:val="00EE057E"/>
    <w:rsid w:val="00EE2888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store.fgiaonline.org/pubstore/ProductResults.asp?cat=0&amp;src=51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ella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ciconsultant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ore.fgiaonline.org/pubstore/ProductResults.asp?cat=0&amp;src=51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3330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2023-01-17T14:07:00Z</dcterms:created>
  <dcterms:modified xsi:type="dcterms:W3CDTF">2023-01-17T14:07:00Z</dcterms:modified>
</cp:coreProperties>
</file>