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72565E" w:rsidRDefault="00596850" w:rsidP="00E91579">
      <w:pPr>
        <w:ind w:right="533"/>
        <w:rPr>
          <w:b/>
          <w:color w:val="000000"/>
          <w:sz w:val="20"/>
          <w:u w:val="single"/>
        </w:rPr>
      </w:pPr>
    </w:p>
    <w:p w14:paraId="582702A7" w14:textId="77777777" w:rsidR="002C4229" w:rsidRDefault="00596850" w:rsidP="00E91579">
      <w:pPr>
        <w:ind w:right="533"/>
        <w:jc w:val="center"/>
        <w:rPr>
          <w:rFonts w:ascii="Helvetica" w:hAnsi="Helvetica"/>
          <w:b/>
          <w:color w:val="000000"/>
          <w:sz w:val="30"/>
          <w:szCs w:val="30"/>
        </w:rPr>
      </w:pPr>
      <w:r>
        <w:rPr>
          <w:rFonts w:ascii="Helvetica" w:hAnsi="Helvetica"/>
          <w:b/>
          <w:color w:val="000000"/>
          <w:sz w:val="30"/>
          <w:szCs w:val="30"/>
        </w:rPr>
        <w:t xml:space="preserve">Tubelite </w:t>
      </w:r>
      <w:r w:rsidR="002C4229">
        <w:rPr>
          <w:rFonts w:ascii="Helvetica" w:hAnsi="Helvetica"/>
          <w:b/>
          <w:color w:val="000000"/>
          <w:sz w:val="30"/>
          <w:szCs w:val="30"/>
        </w:rPr>
        <w:t xml:space="preserve">INT67 </w:t>
      </w:r>
      <w:r w:rsidR="00964127">
        <w:rPr>
          <w:rFonts w:ascii="Helvetica" w:hAnsi="Helvetica"/>
          <w:b/>
          <w:color w:val="000000"/>
          <w:sz w:val="30"/>
          <w:szCs w:val="30"/>
        </w:rPr>
        <w:t>ex</w:t>
      </w:r>
      <w:r w:rsidR="00A54522">
        <w:rPr>
          <w:rFonts w:ascii="Helvetica" w:hAnsi="Helvetica"/>
          <w:b/>
          <w:color w:val="000000"/>
          <w:sz w:val="30"/>
          <w:szCs w:val="30"/>
        </w:rPr>
        <w:t>pands interior framing options</w:t>
      </w:r>
    </w:p>
    <w:p w14:paraId="06988C96" w14:textId="2DE3D1D8" w:rsidR="00596850" w:rsidRPr="006F029C" w:rsidRDefault="002C4229" w:rsidP="00E91579">
      <w:pPr>
        <w:ind w:right="533"/>
        <w:jc w:val="center"/>
        <w:rPr>
          <w:rFonts w:ascii="Helvetica" w:hAnsi="Helvetica"/>
          <w:b/>
          <w:color w:val="000000"/>
          <w:sz w:val="30"/>
          <w:szCs w:val="30"/>
        </w:rPr>
      </w:pPr>
      <w:r>
        <w:rPr>
          <w:rFonts w:ascii="Helvetica" w:hAnsi="Helvetica"/>
          <w:b/>
          <w:color w:val="000000"/>
          <w:sz w:val="30"/>
          <w:szCs w:val="30"/>
        </w:rPr>
        <w:t>for retail spaces and commercial offices</w:t>
      </w:r>
    </w:p>
    <w:p w14:paraId="4BD26C33" w14:textId="77777777" w:rsidR="00596850" w:rsidRPr="009161A1" w:rsidRDefault="00596850" w:rsidP="00E91579">
      <w:pPr>
        <w:ind w:right="533"/>
        <w:contextualSpacing/>
        <w:rPr>
          <w:color w:val="000000"/>
          <w:sz w:val="22"/>
          <w:szCs w:val="22"/>
        </w:rPr>
      </w:pPr>
    </w:p>
    <w:p w14:paraId="2273F027" w14:textId="03436F50" w:rsidR="002C4229" w:rsidRPr="002C4229" w:rsidRDefault="005330D1" w:rsidP="00E91579">
      <w:pPr>
        <w:ind w:right="533"/>
        <w:rPr>
          <w:sz w:val="22"/>
          <w:szCs w:val="22"/>
        </w:rPr>
      </w:pPr>
      <w:r w:rsidRPr="002C4229">
        <w:rPr>
          <w:sz w:val="22"/>
          <w:szCs w:val="22"/>
        </w:rPr>
        <w:t>Walker, Michigan (</w:t>
      </w:r>
      <w:r w:rsidR="00283687">
        <w:rPr>
          <w:sz w:val="22"/>
          <w:szCs w:val="22"/>
        </w:rPr>
        <w:t>March</w:t>
      </w:r>
      <w:r w:rsidR="004C7156" w:rsidRPr="002C4229">
        <w:rPr>
          <w:sz w:val="22"/>
          <w:szCs w:val="22"/>
        </w:rPr>
        <w:t xml:space="preserve"> 2020)</w:t>
      </w:r>
      <w:r w:rsidR="0019683A" w:rsidRPr="002C4229">
        <w:rPr>
          <w:sz w:val="22"/>
          <w:szCs w:val="22"/>
        </w:rPr>
        <w:t xml:space="preserve"> </w:t>
      </w:r>
      <w:r w:rsidR="00F40181" w:rsidRPr="002C4229">
        <w:rPr>
          <w:sz w:val="22"/>
          <w:szCs w:val="22"/>
        </w:rPr>
        <w:t>–</w:t>
      </w:r>
      <w:r w:rsidR="00A54522" w:rsidRPr="002C4229">
        <w:rPr>
          <w:sz w:val="22"/>
          <w:szCs w:val="22"/>
        </w:rPr>
        <w:t xml:space="preserve"> </w:t>
      </w:r>
      <w:r w:rsidR="00000F08" w:rsidRPr="002C4229">
        <w:rPr>
          <w:sz w:val="22"/>
          <w:szCs w:val="22"/>
        </w:rPr>
        <w:t xml:space="preserve">Tubelite INT67 Interior Framing blends transparency and flexibility with simplified, fast-track construction for retail space, commercial offices and other interior build-outs. </w:t>
      </w:r>
      <w:r w:rsidR="002C4229" w:rsidRPr="002C4229">
        <w:rPr>
          <w:sz w:val="22"/>
          <w:szCs w:val="22"/>
        </w:rPr>
        <w:t xml:space="preserve">The aluminum frames </w:t>
      </w:r>
      <w:r w:rsidR="000D413E">
        <w:rPr>
          <w:sz w:val="22"/>
          <w:szCs w:val="22"/>
        </w:rPr>
        <w:t xml:space="preserve">are </w:t>
      </w:r>
      <w:r w:rsidR="002C4229" w:rsidRPr="002C4229">
        <w:rPr>
          <w:sz w:val="22"/>
          <w:szCs w:val="22"/>
        </w:rPr>
        <w:t>installed after drywall, completely covering the end of the stud wall. Perimeter trim adapters allow for a breadth of design configurations.</w:t>
      </w:r>
    </w:p>
    <w:p w14:paraId="63928843" w14:textId="77777777" w:rsidR="00E20983" w:rsidRPr="002C4229" w:rsidRDefault="00E20983" w:rsidP="00E91579">
      <w:pPr>
        <w:ind w:right="533"/>
        <w:rPr>
          <w:sz w:val="22"/>
          <w:szCs w:val="22"/>
        </w:rPr>
      </w:pPr>
    </w:p>
    <w:p w14:paraId="3C8426A7" w14:textId="0B9D397E" w:rsidR="002C4229" w:rsidRPr="002C4229" w:rsidRDefault="00000F08" w:rsidP="00E91579">
      <w:pPr>
        <w:ind w:right="533"/>
        <w:rPr>
          <w:sz w:val="22"/>
          <w:szCs w:val="22"/>
        </w:rPr>
      </w:pPr>
      <w:r w:rsidRPr="002C4229">
        <w:rPr>
          <w:sz w:val="22"/>
          <w:szCs w:val="22"/>
        </w:rPr>
        <w:t xml:space="preserve">Tubelite’s INT67 </w:t>
      </w:r>
      <w:r w:rsidR="00C53971" w:rsidRPr="002C4229">
        <w:rPr>
          <w:sz w:val="22"/>
          <w:szCs w:val="22"/>
        </w:rPr>
        <w:t>profiles have a 2-inch face and 5-1/2-inch depth</w:t>
      </w:r>
      <w:r w:rsidR="002C4229" w:rsidRPr="002C4229">
        <w:rPr>
          <w:sz w:val="22"/>
          <w:szCs w:val="22"/>
        </w:rPr>
        <w:t>,</w:t>
      </w:r>
      <w:r w:rsidRPr="002C4229">
        <w:rPr>
          <w:sz w:val="22"/>
          <w:szCs w:val="22"/>
        </w:rPr>
        <w:t xml:space="preserve"> and </w:t>
      </w:r>
      <w:r w:rsidR="00247B74">
        <w:rPr>
          <w:sz w:val="22"/>
          <w:szCs w:val="22"/>
        </w:rPr>
        <w:t xml:space="preserve">perimeter trim adapters </w:t>
      </w:r>
      <w:r w:rsidRPr="002C4229">
        <w:rPr>
          <w:sz w:val="22"/>
          <w:szCs w:val="22"/>
        </w:rPr>
        <w:t xml:space="preserve">easily </w:t>
      </w:r>
      <w:r w:rsidR="00247B74">
        <w:rPr>
          <w:sz w:val="22"/>
          <w:szCs w:val="22"/>
        </w:rPr>
        <w:t xml:space="preserve">cover standard </w:t>
      </w:r>
      <w:r w:rsidR="00A54522" w:rsidRPr="002C4229">
        <w:rPr>
          <w:sz w:val="22"/>
          <w:szCs w:val="22"/>
        </w:rPr>
        <w:t>4-7/8-inch metal stud and drywall systems</w:t>
      </w:r>
      <w:r w:rsidR="00E20983" w:rsidRPr="002C4229">
        <w:rPr>
          <w:sz w:val="22"/>
          <w:szCs w:val="22"/>
        </w:rPr>
        <w:t>.</w:t>
      </w:r>
      <w:r w:rsidR="002C4229" w:rsidRPr="002C4229">
        <w:rPr>
          <w:sz w:val="22"/>
          <w:szCs w:val="22"/>
        </w:rPr>
        <w:t xml:space="preserve"> Enhancing interior design and décor, Tubelite’s framing and door systems can be finished in a choice of 19 standard paint and 11 anodize colors. Supporting green building goals, the aluminum interior framing members can be specified with recycled content.</w:t>
      </w:r>
    </w:p>
    <w:p w14:paraId="34CBAE49" w14:textId="77777777" w:rsidR="002C4229" w:rsidRPr="002C4229" w:rsidRDefault="002C4229" w:rsidP="00E91579">
      <w:pPr>
        <w:ind w:right="533"/>
        <w:rPr>
          <w:sz w:val="22"/>
          <w:szCs w:val="22"/>
        </w:rPr>
      </w:pPr>
    </w:p>
    <w:p w14:paraId="54FF0282" w14:textId="5D3A362C" w:rsidR="00E4348A" w:rsidRPr="002C4229" w:rsidRDefault="002C4229" w:rsidP="00E91579">
      <w:pPr>
        <w:ind w:right="533"/>
        <w:rPr>
          <w:sz w:val="22"/>
          <w:szCs w:val="22"/>
        </w:rPr>
      </w:pPr>
      <w:r w:rsidRPr="002C4229">
        <w:rPr>
          <w:sz w:val="22"/>
          <w:szCs w:val="22"/>
        </w:rPr>
        <w:t xml:space="preserve">Completing the interior enclosure, INT67 framing systems conveniently integrate with Tubelite’s standard </w:t>
      </w:r>
      <w:r w:rsidR="00247B74">
        <w:rPr>
          <w:sz w:val="22"/>
          <w:szCs w:val="22"/>
        </w:rPr>
        <w:t>entrance</w:t>
      </w:r>
      <w:r w:rsidR="00247B74" w:rsidRPr="002C4229">
        <w:rPr>
          <w:sz w:val="22"/>
          <w:szCs w:val="22"/>
        </w:rPr>
        <w:t xml:space="preserve"> </w:t>
      </w:r>
      <w:r w:rsidRPr="002C4229">
        <w:rPr>
          <w:sz w:val="22"/>
          <w:szCs w:val="22"/>
        </w:rPr>
        <w:t xml:space="preserve">doors. </w:t>
      </w:r>
      <w:r w:rsidR="00E4348A" w:rsidRPr="002C4229">
        <w:rPr>
          <w:sz w:val="22"/>
          <w:szCs w:val="22"/>
        </w:rPr>
        <w:t>Gaskets</w:t>
      </w:r>
      <w:r>
        <w:rPr>
          <w:sz w:val="22"/>
          <w:szCs w:val="22"/>
        </w:rPr>
        <w:t>, in choice of black or gray,</w:t>
      </w:r>
      <w:r w:rsidR="00E4348A" w:rsidRPr="002C4229">
        <w:rPr>
          <w:sz w:val="22"/>
          <w:szCs w:val="22"/>
        </w:rPr>
        <w:t xml:space="preserve"> accommodate </w:t>
      </w:r>
      <w:r w:rsidR="00EC3FEB" w:rsidRPr="002C4229">
        <w:rPr>
          <w:sz w:val="22"/>
          <w:szCs w:val="22"/>
        </w:rPr>
        <w:t xml:space="preserve">standard 1/2-inch </w:t>
      </w:r>
      <w:r w:rsidR="00E4348A" w:rsidRPr="002C4229">
        <w:rPr>
          <w:sz w:val="22"/>
          <w:szCs w:val="22"/>
        </w:rPr>
        <w:t xml:space="preserve">glass thicknesses </w:t>
      </w:r>
      <w:r w:rsidR="00EC3FEB" w:rsidRPr="002C4229">
        <w:rPr>
          <w:sz w:val="22"/>
          <w:szCs w:val="22"/>
        </w:rPr>
        <w:t>and can be modified for 1/4- to 3/4-inch-thick glazing</w:t>
      </w:r>
      <w:r w:rsidRPr="002C4229">
        <w:rPr>
          <w:sz w:val="22"/>
          <w:szCs w:val="22"/>
        </w:rPr>
        <w:t xml:space="preserve">. </w:t>
      </w:r>
      <w:r w:rsidR="00E4348A" w:rsidRPr="002C4229">
        <w:rPr>
          <w:sz w:val="22"/>
          <w:szCs w:val="22"/>
        </w:rPr>
        <w:t>Bulb gaskets at the interior/exterior joint with drywall provide a uniform appearance and do not require sealant</w:t>
      </w:r>
      <w:r w:rsidR="00313E74">
        <w:rPr>
          <w:sz w:val="22"/>
          <w:szCs w:val="22"/>
        </w:rPr>
        <w:t>.</w:t>
      </w:r>
    </w:p>
    <w:p w14:paraId="63583938" w14:textId="4A98132D" w:rsidR="00E4348A" w:rsidRPr="002C4229" w:rsidRDefault="00E4348A" w:rsidP="00E91579">
      <w:pPr>
        <w:ind w:right="533"/>
        <w:rPr>
          <w:sz w:val="22"/>
          <w:szCs w:val="22"/>
        </w:rPr>
      </w:pPr>
    </w:p>
    <w:p w14:paraId="4160EDE0" w14:textId="7A64E778" w:rsidR="00E4348A" w:rsidRPr="002C4229" w:rsidRDefault="00E4348A" w:rsidP="00E91579">
      <w:pPr>
        <w:ind w:right="533"/>
        <w:rPr>
          <w:sz w:val="22"/>
          <w:szCs w:val="22"/>
        </w:rPr>
      </w:pPr>
      <w:r w:rsidRPr="002C4229">
        <w:rPr>
          <w:sz w:val="22"/>
          <w:szCs w:val="22"/>
        </w:rPr>
        <w:t>The aluminum framing is shipped in “stick” lengths and fabricated with screw spline construction. This allows material to be ordered prior to having the exact opening dimensions, and adjusted as needed at the jobsite.</w:t>
      </w:r>
      <w:r w:rsidR="002C4229" w:rsidRPr="002C4229">
        <w:rPr>
          <w:sz w:val="22"/>
          <w:szCs w:val="22"/>
        </w:rPr>
        <w:t xml:space="preserve"> </w:t>
      </w:r>
      <w:r w:rsidR="00EC3FEB" w:rsidRPr="002C4229">
        <w:rPr>
          <w:sz w:val="22"/>
          <w:szCs w:val="22"/>
        </w:rPr>
        <w:t xml:space="preserve">Options </w:t>
      </w:r>
      <w:r w:rsidR="002C4229" w:rsidRPr="002C4229">
        <w:rPr>
          <w:sz w:val="22"/>
          <w:szCs w:val="22"/>
        </w:rPr>
        <w:t xml:space="preserve">also </w:t>
      </w:r>
      <w:r w:rsidR="00EC3FEB" w:rsidRPr="002C4229">
        <w:rPr>
          <w:sz w:val="22"/>
          <w:szCs w:val="22"/>
        </w:rPr>
        <w:t>are available for knee wall conditions, and for channel head and sill components</w:t>
      </w:r>
      <w:r w:rsidR="002C4229" w:rsidRPr="002C4229">
        <w:rPr>
          <w:sz w:val="22"/>
          <w:szCs w:val="22"/>
        </w:rPr>
        <w:t>.</w:t>
      </w:r>
    </w:p>
    <w:p w14:paraId="02E6B625" w14:textId="77777777" w:rsidR="001929D0" w:rsidRPr="002C4229" w:rsidRDefault="001929D0" w:rsidP="00E91579">
      <w:pPr>
        <w:ind w:right="533"/>
        <w:rPr>
          <w:sz w:val="22"/>
          <w:szCs w:val="22"/>
        </w:rPr>
      </w:pPr>
    </w:p>
    <w:p w14:paraId="6DF622E3" w14:textId="1D3D1CA3" w:rsidR="008945D7" w:rsidRPr="002C4229" w:rsidRDefault="008945D7" w:rsidP="00E91579">
      <w:pPr>
        <w:ind w:right="533"/>
        <w:rPr>
          <w:sz w:val="22"/>
          <w:szCs w:val="22"/>
        </w:rPr>
      </w:pPr>
      <w:r w:rsidRPr="002C4229">
        <w:rPr>
          <w:sz w:val="22"/>
          <w:szCs w:val="22"/>
        </w:rPr>
        <w:t>T</w:t>
      </w:r>
      <w:r>
        <w:rPr>
          <w:sz w:val="22"/>
          <w:szCs w:val="22"/>
        </w:rPr>
        <w:t>ubelite’s</w:t>
      </w:r>
      <w:r w:rsidRPr="002C4229">
        <w:rPr>
          <w:sz w:val="22"/>
          <w:szCs w:val="22"/>
        </w:rPr>
        <w:t xml:space="preserve"> new INT67 system expands on the success of </w:t>
      </w:r>
      <w:r>
        <w:rPr>
          <w:sz w:val="22"/>
          <w:szCs w:val="22"/>
        </w:rPr>
        <w:t xml:space="preserve">its </w:t>
      </w:r>
      <w:r w:rsidRPr="002C4229">
        <w:rPr>
          <w:sz w:val="22"/>
          <w:szCs w:val="22"/>
        </w:rPr>
        <w:t xml:space="preserve">4-1/2-inch </w:t>
      </w:r>
      <w:r w:rsidRPr="002C4229">
        <w:rPr>
          <w:color w:val="000000"/>
          <w:sz w:val="22"/>
          <w:szCs w:val="22"/>
        </w:rPr>
        <w:t>INT45 Interior Framing system introduced in 2016.</w:t>
      </w:r>
    </w:p>
    <w:p w14:paraId="16A54B1D" w14:textId="77777777" w:rsidR="008945D7" w:rsidRPr="002C4229" w:rsidRDefault="008945D7" w:rsidP="00E91579">
      <w:pPr>
        <w:ind w:right="533"/>
        <w:rPr>
          <w:sz w:val="22"/>
          <w:szCs w:val="22"/>
        </w:rPr>
      </w:pPr>
    </w:p>
    <w:p w14:paraId="67E64D8E" w14:textId="4589F6FF" w:rsidR="001929D0" w:rsidRPr="002C4229" w:rsidRDefault="001929D0" w:rsidP="00E91579">
      <w:pPr>
        <w:ind w:right="533"/>
        <w:rPr>
          <w:color w:val="000000"/>
          <w:sz w:val="22"/>
          <w:szCs w:val="22"/>
        </w:rPr>
      </w:pPr>
      <w:r w:rsidRPr="002C4229">
        <w:rPr>
          <w:color w:val="000000"/>
          <w:sz w:val="22"/>
          <w:szCs w:val="22"/>
        </w:rPr>
        <w:t xml:space="preserve">To learn more about Tubelite’s products, please visit </w:t>
      </w:r>
      <w:hyperlink r:id="rId7" w:history="1">
        <w:r w:rsidRPr="002C4229">
          <w:rPr>
            <w:rStyle w:val="Hyperlink"/>
            <w:sz w:val="22"/>
            <w:szCs w:val="22"/>
          </w:rPr>
          <w:t>www.tubeliteinc.com</w:t>
        </w:r>
      </w:hyperlink>
      <w:r w:rsidRPr="002C4229">
        <w:rPr>
          <w:color w:val="000000"/>
          <w:sz w:val="22"/>
          <w:szCs w:val="22"/>
        </w:rPr>
        <w:t>.</w:t>
      </w:r>
    </w:p>
    <w:p w14:paraId="093A2F90" w14:textId="77777777" w:rsidR="001929D0" w:rsidRPr="00C86766" w:rsidRDefault="001929D0" w:rsidP="00E91579">
      <w:pPr>
        <w:widowControl w:val="0"/>
        <w:autoSpaceDE w:val="0"/>
        <w:autoSpaceDN w:val="0"/>
        <w:adjustRightInd w:val="0"/>
        <w:spacing w:after="320"/>
        <w:ind w:right="533"/>
        <w:contextualSpacing/>
        <w:rPr>
          <w:color w:val="000000"/>
          <w:sz w:val="22"/>
          <w:szCs w:val="22"/>
        </w:rPr>
      </w:pPr>
    </w:p>
    <w:p w14:paraId="183F4BCE" w14:textId="77777777" w:rsidR="001929D0" w:rsidRPr="00D27A81" w:rsidRDefault="001929D0" w:rsidP="00E91579">
      <w:pPr>
        <w:ind w:right="533"/>
        <w:contextualSpacing/>
        <w:outlineLvl w:val="0"/>
        <w:rPr>
          <w:i/>
          <w:color w:val="000000"/>
          <w:sz w:val="20"/>
        </w:rPr>
      </w:pPr>
      <w:r w:rsidRPr="00D27A81">
        <w:rPr>
          <w:i/>
          <w:color w:val="000000"/>
          <w:sz w:val="20"/>
        </w:rPr>
        <w:t>About Tubelite Inc.</w:t>
      </w:r>
    </w:p>
    <w:p w14:paraId="4F4BE2EB" w14:textId="75177899" w:rsidR="001929D0" w:rsidRPr="00D27A81" w:rsidRDefault="001929D0" w:rsidP="00E91579">
      <w:pPr>
        <w:widowControl w:val="0"/>
        <w:autoSpaceDE w:val="0"/>
        <w:autoSpaceDN w:val="0"/>
        <w:adjustRightInd w:val="0"/>
        <w:ind w:right="533"/>
        <w:rPr>
          <w:i/>
          <w:color w:val="000000"/>
          <w:sz w:val="20"/>
        </w:rPr>
      </w:pPr>
      <w:r w:rsidRPr="00D27A81">
        <w:rPr>
          <w:i/>
          <w:color w:val="000000"/>
          <w:sz w:val="20"/>
        </w:rPr>
        <w:t>For 7</w:t>
      </w:r>
      <w:r>
        <w:rPr>
          <w:i/>
          <w:color w:val="000000"/>
          <w:sz w:val="20"/>
        </w:rPr>
        <w:t>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2D4D3D58" w14:textId="77777777" w:rsidR="001929D0" w:rsidRPr="00D27A81" w:rsidRDefault="001929D0" w:rsidP="00E91579">
      <w:pPr>
        <w:widowControl w:val="0"/>
        <w:autoSpaceDE w:val="0"/>
        <w:autoSpaceDN w:val="0"/>
        <w:adjustRightInd w:val="0"/>
        <w:ind w:right="533"/>
        <w:rPr>
          <w:i/>
          <w:color w:val="000000"/>
          <w:sz w:val="20"/>
        </w:rPr>
      </w:pPr>
    </w:p>
    <w:p w14:paraId="073728FF" w14:textId="77777777" w:rsidR="001929D0" w:rsidRPr="00D27A81" w:rsidRDefault="001929D0" w:rsidP="00E91579">
      <w:pPr>
        <w:widowControl w:val="0"/>
        <w:autoSpaceDE w:val="0"/>
        <w:autoSpaceDN w:val="0"/>
        <w:adjustRightInd w:val="0"/>
        <w:ind w:right="533"/>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6A2C71CF" w14:textId="77777777" w:rsidR="001929D0" w:rsidRPr="00D27A81" w:rsidRDefault="001929D0" w:rsidP="00E91579">
      <w:pPr>
        <w:ind w:right="533"/>
        <w:contextualSpacing/>
        <w:rPr>
          <w:i/>
          <w:color w:val="000000"/>
          <w:sz w:val="20"/>
        </w:rPr>
      </w:pPr>
    </w:p>
    <w:p w14:paraId="461714B9" w14:textId="7FA9A4DC" w:rsidR="001929D0" w:rsidRDefault="001929D0" w:rsidP="00E91579">
      <w:pPr>
        <w:pStyle w:val="BodyText0"/>
        <w:spacing w:before="2" w:after="2"/>
        <w:ind w:right="533"/>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00786920">
        <w:rPr>
          <w:i/>
          <w:color w:val="000000"/>
          <w:sz w:val="20"/>
          <w:szCs w:val="20"/>
          <w:lang w:val="en-US"/>
        </w:rPr>
        <w:t>t</w:t>
      </w:r>
      <w:bookmarkStart w:id="0" w:name="_GoBack"/>
      <w:r w:rsidR="00786920">
        <w:rPr>
          <w:i/>
          <w:color w:val="000000"/>
          <w:sz w:val="20"/>
          <w:szCs w:val="20"/>
          <w:lang w:val="en-US"/>
        </w:rPr>
        <w:t>he Fenestration and Glazing Industry Alliance (</w:t>
      </w:r>
      <w:proofErr w:type="spellStart"/>
      <w:r w:rsidR="00786920">
        <w:rPr>
          <w:i/>
          <w:color w:val="000000"/>
          <w:sz w:val="20"/>
          <w:szCs w:val="20"/>
          <w:lang w:val="en-US"/>
        </w:rPr>
        <w:t>FGIA</w:t>
      </w:r>
      <w:proofErr w:type="spellEnd"/>
      <w:r w:rsidR="00786920">
        <w:rPr>
          <w:i/>
          <w:color w:val="000000"/>
          <w:sz w:val="20"/>
          <w:szCs w:val="20"/>
          <w:lang w:val="en-US"/>
        </w:rPr>
        <w:t xml:space="preserve">), </w:t>
      </w:r>
      <w:bookmarkEnd w:id="0"/>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7E82E714" w14:textId="77777777" w:rsidR="001929D0" w:rsidRPr="00797260" w:rsidRDefault="001929D0" w:rsidP="00E91579">
      <w:pPr>
        <w:pStyle w:val="BodyText0"/>
        <w:spacing w:before="2" w:after="2"/>
        <w:ind w:right="533"/>
        <w:contextualSpacing/>
        <w:jc w:val="center"/>
        <w:rPr>
          <w:i/>
          <w:color w:val="000000"/>
          <w:sz w:val="20"/>
          <w:szCs w:val="20"/>
          <w:lang w:val="en-US"/>
        </w:rPr>
      </w:pPr>
      <w:r>
        <w:rPr>
          <w:i/>
          <w:color w:val="000000"/>
          <w:sz w:val="20"/>
          <w:szCs w:val="20"/>
          <w:lang w:val="en-US"/>
        </w:rPr>
        <w:t>###</w:t>
      </w:r>
    </w:p>
    <w:p w14:paraId="5516900C" w14:textId="77777777" w:rsidR="001929D0" w:rsidRPr="006F02C1" w:rsidRDefault="001929D0" w:rsidP="00E91579">
      <w:pPr>
        <w:ind w:right="533"/>
        <w:jc w:val="center"/>
        <w:rPr>
          <w:sz w:val="22"/>
          <w:szCs w:val="22"/>
        </w:rPr>
      </w:pPr>
    </w:p>
    <w:sectPr w:rsidR="001929D0" w:rsidRPr="006F02C1"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8DC0A" w14:textId="77777777" w:rsidR="00E1077A" w:rsidRDefault="00E1077A">
      <w:r>
        <w:separator/>
      </w:r>
    </w:p>
  </w:endnote>
  <w:endnote w:type="continuationSeparator" w:id="0">
    <w:p w14:paraId="4700BF4F" w14:textId="77777777" w:rsidR="00E1077A" w:rsidRDefault="00E1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3ED5" w14:textId="77777777" w:rsidR="00E1077A" w:rsidRDefault="00E1077A">
      <w:r>
        <w:separator/>
      </w:r>
    </w:p>
  </w:footnote>
  <w:footnote w:type="continuationSeparator" w:id="0">
    <w:p w14:paraId="365B6B89" w14:textId="77777777" w:rsidR="00E1077A" w:rsidRDefault="00E1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6B3C"/>
    <w:rsid w:val="002A6DBC"/>
    <w:rsid w:val="002B0CD0"/>
    <w:rsid w:val="002B5581"/>
    <w:rsid w:val="002C062C"/>
    <w:rsid w:val="002C1B34"/>
    <w:rsid w:val="002C1C2D"/>
    <w:rsid w:val="002C31F3"/>
    <w:rsid w:val="002C4229"/>
    <w:rsid w:val="002C7255"/>
    <w:rsid w:val="002C7631"/>
    <w:rsid w:val="002D319A"/>
    <w:rsid w:val="002D7605"/>
    <w:rsid w:val="002E3972"/>
    <w:rsid w:val="002F1FF8"/>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2A0D"/>
    <w:rsid w:val="00A05EB8"/>
    <w:rsid w:val="00A106A9"/>
    <w:rsid w:val="00A1085C"/>
    <w:rsid w:val="00A14F03"/>
    <w:rsid w:val="00A1551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3971"/>
    <w:rsid w:val="00C5650B"/>
    <w:rsid w:val="00C60041"/>
    <w:rsid w:val="00C606C9"/>
    <w:rsid w:val="00C60968"/>
    <w:rsid w:val="00C6563D"/>
    <w:rsid w:val="00C661A5"/>
    <w:rsid w:val="00C666F1"/>
    <w:rsid w:val="00C66BCB"/>
    <w:rsid w:val="00C67AF9"/>
    <w:rsid w:val="00C719A9"/>
    <w:rsid w:val="00C744DF"/>
    <w:rsid w:val="00C7537D"/>
    <w:rsid w:val="00C768A4"/>
    <w:rsid w:val="00C77062"/>
    <w:rsid w:val="00C77F23"/>
    <w:rsid w:val="00C8196C"/>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3</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2988</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5</cp:revision>
  <cp:lastPrinted>2017-01-18T20:43:00Z</cp:lastPrinted>
  <dcterms:created xsi:type="dcterms:W3CDTF">2020-02-28T01:05:00Z</dcterms:created>
  <dcterms:modified xsi:type="dcterms:W3CDTF">2020-02-28T01:45:00Z</dcterms:modified>
</cp:coreProperties>
</file>