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DA8C" w14:textId="77777777" w:rsidR="00B15758" w:rsidRPr="005F5974" w:rsidRDefault="00B15758" w:rsidP="00B15758">
      <w:pPr>
        <w:ind w:right="-7"/>
        <w:contextualSpacing/>
        <w:rPr>
          <w:rFonts w:ascii="Arial" w:hAnsi="Arial" w:cs="Arial"/>
          <w:color w:val="000000"/>
          <w:sz w:val="24"/>
        </w:rPr>
      </w:pPr>
      <w:r>
        <w:rPr>
          <w:rFonts w:ascii="Arial" w:hAnsi="Arial" w:cs="Arial"/>
          <w:noProof/>
          <w:color w:val="000000"/>
        </w:rPr>
        <w:drawing>
          <wp:anchor distT="0" distB="0" distL="114300" distR="114300" simplePos="0" relativeHeight="251659264" behindDoc="0" locked="0" layoutInCell="1" allowOverlap="1" wp14:anchorId="64F18D1E" wp14:editId="21BF927D">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14:paraId="787E0DAA" w14:textId="77777777" w:rsidR="00B15758" w:rsidRPr="005F5974" w:rsidRDefault="00B15758" w:rsidP="00B15758">
      <w:pPr>
        <w:ind w:right="-7"/>
        <w:contextualSpacing/>
        <w:rPr>
          <w:color w:val="000000"/>
          <w:sz w:val="20"/>
        </w:rPr>
      </w:pPr>
      <w:r w:rsidRPr="005F5974">
        <w:rPr>
          <w:color w:val="000000"/>
          <w:sz w:val="20"/>
        </w:rPr>
        <w:t>Heather West</w:t>
      </w:r>
    </w:p>
    <w:p w14:paraId="16DF26AD" w14:textId="77777777" w:rsidR="00B15758" w:rsidRPr="005F5974" w:rsidRDefault="00B15758" w:rsidP="00B15758">
      <w:pPr>
        <w:ind w:right="-7"/>
        <w:contextualSpacing/>
        <w:rPr>
          <w:color w:val="000000"/>
          <w:sz w:val="20"/>
        </w:rPr>
      </w:pPr>
      <w:r w:rsidRPr="005F5974">
        <w:rPr>
          <w:color w:val="000000"/>
          <w:sz w:val="20"/>
        </w:rPr>
        <w:t>612-724-8760</w:t>
      </w:r>
    </w:p>
    <w:p w14:paraId="09DB6E54" w14:textId="77777777" w:rsidR="00B15758" w:rsidRPr="005F5974" w:rsidRDefault="00B15758" w:rsidP="00B15758">
      <w:pPr>
        <w:ind w:right="-7"/>
        <w:contextualSpacing/>
        <w:rPr>
          <w:color w:val="000000"/>
          <w:sz w:val="20"/>
        </w:rPr>
      </w:pPr>
      <w:r w:rsidRPr="005F5974">
        <w:rPr>
          <w:color w:val="000000"/>
          <w:sz w:val="20"/>
        </w:rPr>
        <w:t>heather@heatherwestpr.com</w:t>
      </w:r>
    </w:p>
    <w:p w14:paraId="422437D3" w14:textId="77777777" w:rsidR="00B15758" w:rsidRPr="005F5974" w:rsidRDefault="00B15758" w:rsidP="00B15758">
      <w:pPr>
        <w:ind w:right="-7"/>
        <w:contextualSpacing/>
        <w:rPr>
          <w:rFonts w:ascii="Futura" w:hAnsi="Futura"/>
          <w:i/>
          <w:color w:val="000000"/>
          <w:sz w:val="30"/>
          <w:szCs w:val="30"/>
        </w:rPr>
      </w:pPr>
    </w:p>
    <w:p w14:paraId="027E730C" w14:textId="77777777" w:rsidR="00C552EA" w:rsidRDefault="00C552EA" w:rsidP="00C552EA">
      <w:pPr>
        <w:ind w:right="-7"/>
        <w:contextualSpacing/>
        <w:jc w:val="center"/>
        <w:rPr>
          <w:rFonts w:ascii="Futura" w:hAnsi="Futura"/>
          <w:color w:val="000000" w:themeColor="text1"/>
          <w:sz w:val="30"/>
          <w:szCs w:val="30"/>
        </w:rPr>
      </w:pPr>
      <w:r>
        <w:rPr>
          <w:rFonts w:ascii="Futura" w:hAnsi="Futura"/>
          <w:color w:val="000000" w:themeColor="text1"/>
          <w:sz w:val="30"/>
          <w:szCs w:val="30"/>
        </w:rPr>
        <w:t>Linetec introduces Aged Light Oak and Aged Dark Oak –</w:t>
      </w:r>
    </w:p>
    <w:p w14:paraId="48103B39" w14:textId="77777777" w:rsidR="00BE40EF" w:rsidRDefault="00C552EA" w:rsidP="00C552EA">
      <w:pPr>
        <w:ind w:right="-7"/>
        <w:contextualSpacing/>
        <w:jc w:val="center"/>
        <w:rPr>
          <w:rFonts w:ascii="Futura" w:hAnsi="Futura"/>
          <w:color w:val="000000" w:themeColor="text1"/>
          <w:sz w:val="30"/>
          <w:szCs w:val="30"/>
        </w:rPr>
      </w:pPr>
      <w:r>
        <w:rPr>
          <w:rFonts w:ascii="Futura" w:hAnsi="Futura"/>
          <w:color w:val="000000" w:themeColor="text1"/>
          <w:sz w:val="30"/>
          <w:szCs w:val="30"/>
        </w:rPr>
        <w:t>two new wood grain finishes for aluminum</w:t>
      </w:r>
    </w:p>
    <w:p w14:paraId="31BCC577" w14:textId="77777777" w:rsidR="00C552EA" w:rsidRPr="00F5259C" w:rsidRDefault="00C552EA" w:rsidP="00F73CA7">
      <w:pPr>
        <w:ind w:right="-7"/>
        <w:contextualSpacing/>
        <w:rPr>
          <w:szCs w:val="22"/>
        </w:rPr>
      </w:pPr>
    </w:p>
    <w:p w14:paraId="31F022D9" w14:textId="77777777" w:rsidR="00274BA2" w:rsidRPr="00F5259C" w:rsidRDefault="00B15758" w:rsidP="00274BA2">
      <w:pPr>
        <w:contextualSpacing/>
        <w:rPr>
          <w:rFonts w:eastAsia="Times New Roman"/>
          <w:szCs w:val="22"/>
        </w:rPr>
      </w:pPr>
      <w:r w:rsidRPr="00F5259C">
        <w:rPr>
          <w:szCs w:val="22"/>
        </w:rPr>
        <w:t>Wausau, Wisconsin (</w:t>
      </w:r>
      <w:r w:rsidR="004D00F0" w:rsidRPr="00F5259C">
        <w:rPr>
          <w:szCs w:val="22"/>
        </w:rPr>
        <w:t>March</w:t>
      </w:r>
      <w:r w:rsidR="00274BA2" w:rsidRPr="00F5259C">
        <w:rPr>
          <w:szCs w:val="22"/>
        </w:rPr>
        <w:t xml:space="preserve"> 2019</w:t>
      </w:r>
      <w:r w:rsidRPr="00F5259C">
        <w:rPr>
          <w:szCs w:val="22"/>
        </w:rPr>
        <w:t>) –</w:t>
      </w:r>
      <w:r w:rsidR="00C552EA" w:rsidRPr="00F5259C">
        <w:rPr>
          <w:szCs w:val="22"/>
        </w:rPr>
        <w:t xml:space="preserve">Linetec announces the addition of two new patterns – </w:t>
      </w:r>
      <w:r w:rsidR="00C552EA" w:rsidRPr="00F5259C">
        <w:rPr>
          <w:rFonts w:eastAsia="Times New Roman"/>
          <w:szCs w:val="22"/>
        </w:rPr>
        <w:t xml:space="preserve">Aged Light Oak and Aged Dark Oak  – to its Gold Series Palette of wood grain finishes for architectural aluminum products. </w:t>
      </w:r>
      <w:r w:rsidR="00547D17">
        <w:rPr>
          <w:rFonts w:eastAsia="Times New Roman"/>
          <w:szCs w:val="22"/>
        </w:rPr>
        <w:t>These new patterns, p</w:t>
      </w:r>
      <w:r w:rsidR="00C552EA" w:rsidRPr="00F5259C">
        <w:rPr>
          <w:rFonts w:eastAsia="Times New Roman"/>
          <w:szCs w:val="22"/>
        </w:rPr>
        <w:t xml:space="preserve">resenting the look and feel of </w:t>
      </w:r>
      <w:r w:rsidR="000F50FC">
        <w:rPr>
          <w:rFonts w:eastAsia="Times New Roman"/>
          <w:szCs w:val="22"/>
        </w:rPr>
        <w:t xml:space="preserve">weathered or </w:t>
      </w:r>
      <w:r w:rsidR="00547D17">
        <w:rPr>
          <w:rFonts w:eastAsia="Times New Roman"/>
          <w:szCs w:val="22"/>
        </w:rPr>
        <w:t>reclaimed</w:t>
      </w:r>
      <w:r w:rsidR="00C552EA" w:rsidRPr="00F5259C">
        <w:rPr>
          <w:rFonts w:eastAsia="Times New Roman"/>
          <w:szCs w:val="22"/>
        </w:rPr>
        <w:t xml:space="preserve"> wood</w:t>
      </w:r>
      <w:r w:rsidR="00547D17">
        <w:rPr>
          <w:rFonts w:eastAsia="Times New Roman"/>
          <w:szCs w:val="22"/>
        </w:rPr>
        <w:t>,</w:t>
      </w:r>
      <w:r w:rsidR="00C552EA" w:rsidRPr="00F5259C">
        <w:rPr>
          <w:rFonts w:eastAsia="Times New Roman"/>
          <w:szCs w:val="22"/>
        </w:rPr>
        <w:t xml:space="preserve"> expand Linetec’s offering to 16 standard wood grain options.</w:t>
      </w:r>
    </w:p>
    <w:p w14:paraId="6475B6A5" w14:textId="77777777" w:rsidR="00C552EA" w:rsidRPr="00F5259C" w:rsidRDefault="00C552EA" w:rsidP="00274BA2">
      <w:pPr>
        <w:contextualSpacing/>
        <w:rPr>
          <w:szCs w:val="22"/>
        </w:rPr>
      </w:pPr>
    </w:p>
    <w:p w14:paraId="12ECD3A7" w14:textId="77777777" w:rsidR="00C30467" w:rsidRPr="00F5259C" w:rsidRDefault="00C30467" w:rsidP="00C30467">
      <w:pPr>
        <w:rPr>
          <w:rFonts w:eastAsia="Times New Roman"/>
          <w:szCs w:val="22"/>
        </w:rPr>
      </w:pPr>
      <w:r w:rsidRPr="00F5259C">
        <w:rPr>
          <w:rFonts w:eastAsia="Times New Roman"/>
          <w:szCs w:val="22"/>
        </w:rPr>
        <w:t xml:space="preserve">Suitable for both interior and exterior applications, these wood grain finishes are ideal for </w:t>
      </w:r>
      <w:r w:rsidR="00547D17">
        <w:rPr>
          <w:rFonts w:eastAsia="Times New Roman"/>
          <w:szCs w:val="22"/>
        </w:rPr>
        <w:t>a variety of architectural components</w:t>
      </w:r>
      <w:r w:rsidR="00DB0118">
        <w:rPr>
          <w:rFonts w:eastAsia="Times New Roman"/>
          <w:szCs w:val="22"/>
        </w:rPr>
        <w:t xml:space="preserve">: </w:t>
      </w:r>
      <w:r w:rsidR="00F5259C" w:rsidRPr="00F5259C">
        <w:rPr>
          <w:rFonts w:eastAsia="Times New Roman"/>
          <w:szCs w:val="22"/>
        </w:rPr>
        <w:t xml:space="preserve">canopies, </w:t>
      </w:r>
      <w:r w:rsidRPr="00F5259C">
        <w:rPr>
          <w:rFonts w:eastAsia="Times New Roman"/>
          <w:szCs w:val="22"/>
        </w:rPr>
        <w:t xml:space="preserve">trellis systems, handrails, </w:t>
      </w:r>
      <w:r w:rsidR="00F5259C" w:rsidRPr="00F5259C">
        <w:rPr>
          <w:rFonts w:eastAsia="Times New Roman"/>
          <w:szCs w:val="22"/>
        </w:rPr>
        <w:t xml:space="preserve">fencing, </w:t>
      </w:r>
      <w:r w:rsidR="00DB0118">
        <w:rPr>
          <w:rFonts w:eastAsia="Times New Roman"/>
          <w:szCs w:val="22"/>
        </w:rPr>
        <w:t xml:space="preserve">interior and entry </w:t>
      </w:r>
      <w:r w:rsidR="000F50FC">
        <w:rPr>
          <w:rFonts w:eastAsia="Times New Roman"/>
          <w:szCs w:val="22"/>
        </w:rPr>
        <w:t>doors</w:t>
      </w:r>
      <w:r w:rsidR="00DB0118">
        <w:rPr>
          <w:rFonts w:eastAsia="Times New Roman"/>
          <w:szCs w:val="22"/>
        </w:rPr>
        <w:t xml:space="preserve">, interior wall panels, façade cladding systems, </w:t>
      </w:r>
      <w:r w:rsidRPr="00F5259C">
        <w:rPr>
          <w:rFonts w:eastAsia="Times New Roman"/>
          <w:szCs w:val="22"/>
        </w:rPr>
        <w:t>garage doors, shutters, column covers</w:t>
      </w:r>
      <w:r w:rsidR="00F5259C" w:rsidRPr="00F5259C">
        <w:rPr>
          <w:rFonts w:eastAsia="Times New Roman"/>
          <w:szCs w:val="22"/>
        </w:rPr>
        <w:t>, window and door framing, mullions and decorative accents</w:t>
      </w:r>
      <w:r w:rsidRPr="00F5259C">
        <w:rPr>
          <w:rFonts w:eastAsia="Times New Roman"/>
          <w:szCs w:val="22"/>
        </w:rPr>
        <w:t>.</w:t>
      </w:r>
    </w:p>
    <w:p w14:paraId="22805CE0" w14:textId="77777777" w:rsidR="00274BA2" w:rsidRPr="00F5259C" w:rsidRDefault="00274BA2" w:rsidP="00274BA2">
      <w:pPr>
        <w:contextualSpacing/>
        <w:rPr>
          <w:szCs w:val="22"/>
        </w:rPr>
      </w:pPr>
    </w:p>
    <w:p w14:paraId="3177C17C" w14:textId="77777777" w:rsidR="00D70AE2" w:rsidRDefault="00F5259C" w:rsidP="00F5259C">
      <w:pPr>
        <w:rPr>
          <w:rFonts w:eastAsia="Times New Roman"/>
          <w:szCs w:val="22"/>
        </w:rPr>
      </w:pPr>
      <w:r>
        <w:rPr>
          <w:rFonts w:eastAsia="Times New Roman"/>
          <w:szCs w:val="22"/>
        </w:rPr>
        <w:t>“</w:t>
      </w:r>
      <w:r w:rsidR="00B93C83">
        <w:rPr>
          <w:rFonts w:eastAsia="Times New Roman"/>
          <w:szCs w:val="22"/>
        </w:rPr>
        <w:t xml:space="preserve">While we </w:t>
      </w:r>
      <w:r w:rsidR="00DB0118">
        <w:rPr>
          <w:rFonts w:eastAsia="Times New Roman"/>
          <w:szCs w:val="22"/>
        </w:rPr>
        <w:t>appreciate</w:t>
      </w:r>
      <w:r w:rsidR="00B93C83">
        <w:rPr>
          <w:rFonts w:eastAsia="Times New Roman"/>
          <w:szCs w:val="22"/>
        </w:rPr>
        <w:t xml:space="preserve"> the rich beauty of natural wood, when considering high traffic areas, maintenance and weathering, Linetec’s wood grain coatings can be an excellent alternative.</w:t>
      </w:r>
      <w:r w:rsidR="00DB0118">
        <w:rPr>
          <w:rFonts w:eastAsia="Times New Roman"/>
          <w:szCs w:val="22"/>
        </w:rPr>
        <w:t xml:space="preserve"> </w:t>
      </w:r>
      <w:r w:rsidR="000F50FC">
        <w:rPr>
          <w:rFonts w:eastAsia="Times New Roman"/>
          <w:szCs w:val="22"/>
        </w:rPr>
        <w:t>T</w:t>
      </w:r>
      <w:r>
        <w:rPr>
          <w:rFonts w:eastAsia="Times New Roman"/>
          <w:szCs w:val="22"/>
        </w:rPr>
        <w:t xml:space="preserve">he appearance </w:t>
      </w:r>
      <w:r w:rsidR="00817AE9">
        <w:rPr>
          <w:rFonts w:eastAsia="Times New Roman"/>
          <w:szCs w:val="22"/>
        </w:rPr>
        <w:t xml:space="preserve">of </w:t>
      </w:r>
      <w:r w:rsidR="00B93C83">
        <w:rPr>
          <w:rFonts w:eastAsia="Times New Roman"/>
          <w:szCs w:val="22"/>
        </w:rPr>
        <w:t xml:space="preserve">these new </w:t>
      </w:r>
      <w:r>
        <w:rPr>
          <w:rFonts w:eastAsia="Times New Roman"/>
          <w:szCs w:val="22"/>
        </w:rPr>
        <w:t>weathered</w:t>
      </w:r>
      <w:r w:rsidRPr="00F5259C">
        <w:rPr>
          <w:rFonts w:eastAsia="Times New Roman"/>
          <w:szCs w:val="22"/>
        </w:rPr>
        <w:t xml:space="preserve"> </w:t>
      </w:r>
      <w:r w:rsidR="00817AE9">
        <w:rPr>
          <w:rFonts w:eastAsia="Times New Roman"/>
          <w:szCs w:val="22"/>
        </w:rPr>
        <w:t xml:space="preserve">wood </w:t>
      </w:r>
      <w:r w:rsidR="00B93C83">
        <w:rPr>
          <w:rFonts w:eastAsia="Times New Roman"/>
          <w:szCs w:val="22"/>
        </w:rPr>
        <w:t xml:space="preserve">selections </w:t>
      </w:r>
      <w:r w:rsidRPr="00F5259C">
        <w:rPr>
          <w:rFonts w:eastAsia="Times New Roman"/>
          <w:szCs w:val="22"/>
        </w:rPr>
        <w:t xml:space="preserve">can be a desired </w:t>
      </w:r>
      <w:r w:rsidR="00817AE9">
        <w:rPr>
          <w:rFonts w:eastAsia="Times New Roman"/>
          <w:szCs w:val="22"/>
        </w:rPr>
        <w:t xml:space="preserve">aesthetic that brings </w:t>
      </w:r>
      <w:r w:rsidR="00D70AE2">
        <w:rPr>
          <w:rFonts w:eastAsia="Times New Roman"/>
          <w:szCs w:val="22"/>
        </w:rPr>
        <w:t xml:space="preserve">warmth, comfort and </w:t>
      </w:r>
      <w:r w:rsidR="00817AE9">
        <w:rPr>
          <w:rFonts w:eastAsia="Times New Roman"/>
          <w:szCs w:val="22"/>
        </w:rPr>
        <w:t xml:space="preserve">character to </w:t>
      </w:r>
      <w:r w:rsidR="000F50FC">
        <w:rPr>
          <w:rFonts w:eastAsia="Times New Roman"/>
          <w:szCs w:val="22"/>
        </w:rPr>
        <w:t xml:space="preserve">any </w:t>
      </w:r>
      <w:r w:rsidR="00817AE9">
        <w:rPr>
          <w:rFonts w:eastAsia="Times New Roman"/>
          <w:szCs w:val="22"/>
        </w:rPr>
        <w:t>project</w:t>
      </w:r>
      <w:r w:rsidR="00DB0118">
        <w:rPr>
          <w:rFonts w:eastAsia="Times New Roman"/>
          <w:szCs w:val="22"/>
        </w:rPr>
        <w:t xml:space="preserve"> – </w:t>
      </w:r>
      <w:r w:rsidR="000F50FC">
        <w:rPr>
          <w:rFonts w:eastAsia="Times New Roman"/>
          <w:szCs w:val="22"/>
        </w:rPr>
        <w:t xml:space="preserve">from a casual </w:t>
      </w:r>
      <w:r w:rsidR="006F6FFE">
        <w:rPr>
          <w:rFonts w:eastAsia="Times New Roman"/>
          <w:szCs w:val="22"/>
        </w:rPr>
        <w:t>and relaxed</w:t>
      </w:r>
      <w:r w:rsidR="000F50FC">
        <w:rPr>
          <w:rFonts w:eastAsia="Times New Roman"/>
          <w:szCs w:val="22"/>
        </w:rPr>
        <w:t xml:space="preserve"> environment to </w:t>
      </w:r>
      <w:r w:rsidR="006F6FFE">
        <w:rPr>
          <w:rFonts w:eastAsia="Times New Roman"/>
          <w:szCs w:val="22"/>
        </w:rPr>
        <w:t xml:space="preserve">an </w:t>
      </w:r>
      <w:r w:rsidR="000F50FC">
        <w:rPr>
          <w:rFonts w:eastAsia="Times New Roman"/>
          <w:szCs w:val="22"/>
        </w:rPr>
        <w:t>upscale design</w:t>
      </w:r>
      <w:r w:rsidR="00DB0118">
        <w:rPr>
          <w:rFonts w:eastAsia="Times New Roman"/>
          <w:szCs w:val="22"/>
        </w:rPr>
        <w:t>,</w:t>
      </w:r>
      <w:r w:rsidR="00D70AE2">
        <w:rPr>
          <w:rFonts w:eastAsia="Times New Roman"/>
          <w:szCs w:val="22"/>
        </w:rPr>
        <w:t>” said Linetec’s marketing manager Tammy Schroeder, LEED</w:t>
      </w:r>
      <w:r w:rsidR="00D70AE2" w:rsidRPr="00D70AE2">
        <w:rPr>
          <w:rFonts w:eastAsia="Times New Roman"/>
          <w:szCs w:val="22"/>
          <w:vertAlign w:val="superscript"/>
        </w:rPr>
        <w:t>®</w:t>
      </w:r>
      <w:r w:rsidR="00D70AE2">
        <w:rPr>
          <w:rFonts w:eastAsia="Times New Roman"/>
          <w:szCs w:val="22"/>
        </w:rPr>
        <w:t xml:space="preserve"> Green Associate.</w:t>
      </w:r>
    </w:p>
    <w:p w14:paraId="5A469028" w14:textId="77777777" w:rsidR="00D70AE2" w:rsidRDefault="00D70AE2" w:rsidP="00F5259C">
      <w:pPr>
        <w:rPr>
          <w:rFonts w:eastAsia="Times New Roman"/>
          <w:szCs w:val="22"/>
        </w:rPr>
      </w:pPr>
    </w:p>
    <w:p w14:paraId="60152DC3" w14:textId="77777777" w:rsidR="00817AE9" w:rsidRDefault="00D70AE2" w:rsidP="00F5259C">
      <w:pPr>
        <w:rPr>
          <w:rFonts w:eastAsia="Times New Roman"/>
          <w:szCs w:val="22"/>
        </w:rPr>
      </w:pPr>
      <w:r>
        <w:rPr>
          <w:rFonts w:eastAsia="Times New Roman"/>
          <w:szCs w:val="22"/>
        </w:rPr>
        <w:t>She continued, “</w:t>
      </w:r>
      <w:r w:rsidR="00817AE9">
        <w:rPr>
          <w:rFonts w:eastAsia="Times New Roman"/>
          <w:szCs w:val="22"/>
        </w:rPr>
        <w:t xml:space="preserve">For new construction or renovation, our </w:t>
      </w:r>
      <w:r w:rsidR="00817AE9" w:rsidRPr="00F5259C">
        <w:rPr>
          <w:rFonts w:eastAsia="Times New Roman"/>
          <w:szCs w:val="22"/>
        </w:rPr>
        <w:t>Aged Light Oak and Aged Dark Oak</w:t>
      </w:r>
      <w:r w:rsidR="00817AE9">
        <w:rPr>
          <w:rFonts w:eastAsia="Times New Roman"/>
          <w:szCs w:val="22"/>
        </w:rPr>
        <w:t xml:space="preserve"> </w:t>
      </w:r>
      <w:r w:rsidR="00B93C83">
        <w:rPr>
          <w:rFonts w:eastAsia="Times New Roman"/>
          <w:szCs w:val="22"/>
        </w:rPr>
        <w:t xml:space="preserve">finishes </w:t>
      </w:r>
      <w:r w:rsidR="00817AE9">
        <w:rPr>
          <w:rFonts w:eastAsia="Times New Roman"/>
          <w:szCs w:val="22"/>
        </w:rPr>
        <w:t>p</w:t>
      </w:r>
      <w:r w:rsidR="00F5259C" w:rsidRPr="00F5259C">
        <w:rPr>
          <w:rFonts w:eastAsia="Times New Roman"/>
          <w:szCs w:val="22"/>
        </w:rPr>
        <w:t>rovid</w:t>
      </w:r>
      <w:r w:rsidR="00817AE9">
        <w:rPr>
          <w:rFonts w:eastAsia="Times New Roman"/>
          <w:szCs w:val="22"/>
        </w:rPr>
        <w:t xml:space="preserve">e </w:t>
      </w:r>
      <w:r w:rsidR="00F5259C" w:rsidRPr="00F5259C">
        <w:rPr>
          <w:rFonts w:eastAsia="Times New Roman"/>
          <w:szCs w:val="22"/>
        </w:rPr>
        <w:t xml:space="preserve">a timeless, lived-in </w:t>
      </w:r>
      <w:r w:rsidR="00817AE9">
        <w:rPr>
          <w:rFonts w:eastAsia="Times New Roman"/>
          <w:szCs w:val="22"/>
        </w:rPr>
        <w:t xml:space="preserve">look with all the advantages of </w:t>
      </w:r>
      <w:r w:rsidR="00CA6F24">
        <w:rPr>
          <w:rFonts w:eastAsia="Times New Roman"/>
          <w:szCs w:val="22"/>
        </w:rPr>
        <w:t xml:space="preserve">aluminum’s </w:t>
      </w:r>
      <w:r w:rsidR="00817AE9">
        <w:rPr>
          <w:rFonts w:eastAsia="Times New Roman"/>
          <w:szCs w:val="22"/>
        </w:rPr>
        <w:t xml:space="preserve">performance. Products </w:t>
      </w:r>
      <w:r>
        <w:rPr>
          <w:rFonts w:eastAsia="Times New Roman"/>
          <w:szCs w:val="22"/>
        </w:rPr>
        <w:t>showcasing</w:t>
      </w:r>
      <w:r w:rsidR="00817AE9">
        <w:rPr>
          <w:rFonts w:eastAsia="Times New Roman"/>
          <w:szCs w:val="22"/>
        </w:rPr>
        <w:t xml:space="preserve"> these finishes look</w:t>
      </w:r>
      <w:r w:rsidR="00F5259C" w:rsidRPr="00F5259C">
        <w:rPr>
          <w:rFonts w:eastAsia="Times New Roman"/>
          <w:szCs w:val="22"/>
        </w:rPr>
        <w:t xml:space="preserve"> as though they </w:t>
      </w:r>
      <w:r>
        <w:rPr>
          <w:rFonts w:eastAsia="Times New Roman"/>
          <w:szCs w:val="22"/>
        </w:rPr>
        <w:t xml:space="preserve">may </w:t>
      </w:r>
      <w:r w:rsidR="00F5259C" w:rsidRPr="00F5259C">
        <w:rPr>
          <w:rFonts w:eastAsia="Times New Roman"/>
          <w:szCs w:val="22"/>
        </w:rPr>
        <w:t>have been there for</w:t>
      </w:r>
      <w:r w:rsidR="00817AE9">
        <w:rPr>
          <w:rFonts w:eastAsia="Times New Roman"/>
          <w:szCs w:val="22"/>
        </w:rPr>
        <w:t xml:space="preserve"> years and, thanks to the durable performance, they will retain this unchanging look for many more years to come</w:t>
      </w:r>
      <w:r w:rsidR="00F5259C" w:rsidRPr="00F5259C">
        <w:rPr>
          <w:rFonts w:eastAsia="Times New Roman"/>
          <w:szCs w:val="22"/>
        </w:rPr>
        <w:t>.</w:t>
      </w:r>
      <w:r>
        <w:rPr>
          <w:rFonts w:eastAsia="Times New Roman"/>
          <w:szCs w:val="22"/>
        </w:rPr>
        <w:t>”</w:t>
      </w:r>
    </w:p>
    <w:p w14:paraId="27898CE0" w14:textId="77777777" w:rsidR="00F5259C" w:rsidRPr="00F5259C" w:rsidRDefault="00F5259C" w:rsidP="00274BA2">
      <w:pPr>
        <w:contextualSpacing/>
        <w:rPr>
          <w:szCs w:val="22"/>
        </w:rPr>
      </w:pPr>
    </w:p>
    <w:p w14:paraId="62EE2A97" w14:textId="77777777" w:rsidR="007F7316" w:rsidRDefault="00D70AE2" w:rsidP="00D70AE2">
      <w:pPr>
        <w:rPr>
          <w:rFonts w:eastAsia="Times New Roman"/>
          <w:szCs w:val="22"/>
        </w:rPr>
      </w:pPr>
      <w:r w:rsidRPr="00F5259C">
        <w:rPr>
          <w:rFonts w:eastAsia="Times New Roman"/>
          <w:szCs w:val="22"/>
        </w:rPr>
        <w:t xml:space="preserve">Linetec’s wood grain finishes </w:t>
      </w:r>
      <w:r w:rsidR="007F7316">
        <w:rPr>
          <w:rFonts w:eastAsia="Times New Roman"/>
          <w:szCs w:val="22"/>
        </w:rPr>
        <w:t>also support b</w:t>
      </w:r>
      <w:r w:rsidR="007F7316" w:rsidRPr="00F5259C">
        <w:rPr>
          <w:rFonts w:eastAsia="Times New Roman"/>
          <w:szCs w:val="22"/>
        </w:rPr>
        <w:t xml:space="preserve">iophilic </w:t>
      </w:r>
      <w:r w:rsidR="007F7316">
        <w:rPr>
          <w:rFonts w:eastAsia="Times New Roman"/>
          <w:szCs w:val="22"/>
        </w:rPr>
        <w:t xml:space="preserve">and environmental </w:t>
      </w:r>
      <w:r w:rsidR="007F7316" w:rsidRPr="00F5259C">
        <w:rPr>
          <w:rFonts w:eastAsia="Times New Roman"/>
          <w:szCs w:val="22"/>
        </w:rPr>
        <w:t xml:space="preserve">design </w:t>
      </w:r>
      <w:r w:rsidR="007F7316">
        <w:rPr>
          <w:rFonts w:eastAsia="Times New Roman"/>
          <w:szCs w:val="22"/>
        </w:rPr>
        <w:t>goals</w:t>
      </w:r>
      <w:r w:rsidR="00CB11D9">
        <w:rPr>
          <w:rFonts w:eastAsia="Times New Roman"/>
          <w:szCs w:val="22"/>
        </w:rPr>
        <w:t>, according to</w:t>
      </w:r>
      <w:r w:rsidR="007F7316">
        <w:rPr>
          <w:rFonts w:eastAsia="Times New Roman"/>
          <w:szCs w:val="22"/>
        </w:rPr>
        <w:t>.</w:t>
      </w:r>
      <w:r w:rsidR="00CB11D9">
        <w:rPr>
          <w:rFonts w:eastAsia="Times New Roman"/>
          <w:szCs w:val="22"/>
        </w:rPr>
        <w:t xml:space="preserve"> Schroeder. She explained, “</w:t>
      </w:r>
      <w:r w:rsidR="007F7316">
        <w:rPr>
          <w:rFonts w:eastAsia="Times New Roman"/>
          <w:szCs w:val="22"/>
        </w:rPr>
        <w:t>B</w:t>
      </w:r>
      <w:r w:rsidR="007F7316" w:rsidRPr="00F5259C">
        <w:rPr>
          <w:rFonts w:eastAsia="Times New Roman"/>
          <w:szCs w:val="22"/>
        </w:rPr>
        <w:t xml:space="preserve">iophilic design </w:t>
      </w:r>
      <w:r w:rsidR="007F7316">
        <w:rPr>
          <w:rFonts w:eastAsia="Times New Roman"/>
          <w:szCs w:val="22"/>
        </w:rPr>
        <w:t xml:space="preserve">rely on naturally inspired practices and materials to help </w:t>
      </w:r>
      <w:r w:rsidR="007F7316" w:rsidRPr="00F5259C">
        <w:rPr>
          <w:rFonts w:eastAsia="Times New Roman"/>
          <w:szCs w:val="22"/>
        </w:rPr>
        <w:t xml:space="preserve">reconnect people with </w:t>
      </w:r>
      <w:r w:rsidR="007F7316">
        <w:rPr>
          <w:rFonts w:eastAsia="Times New Roman"/>
          <w:szCs w:val="22"/>
        </w:rPr>
        <w:t xml:space="preserve">their surrounding environment. Studies have shown that </w:t>
      </w:r>
      <w:r w:rsidR="00E22EFA">
        <w:rPr>
          <w:rFonts w:eastAsia="Times New Roman"/>
          <w:szCs w:val="22"/>
        </w:rPr>
        <w:t xml:space="preserve">a </w:t>
      </w:r>
      <w:r w:rsidR="007F7316">
        <w:rPr>
          <w:rFonts w:eastAsia="Times New Roman"/>
          <w:szCs w:val="22"/>
        </w:rPr>
        <w:t xml:space="preserve">connection </w:t>
      </w:r>
      <w:r w:rsidR="00E22EFA">
        <w:rPr>
          <w:rFonts w:eastAsia="Times New Roman"/>
          <w:szCs w:val="22"/>
        </w:rPr>
        <w:t xml:space="preserve">to nature </w:t>
      </w:r>
      <w:r w:rsidR="007F7316">
        <w:rPr>
          <w:rFonts w:eastAsia="Times New Roman"/>
          <w:szCs w:val="22"/>
        </w:rPr>
        <w:t xml:space="preserve">can help </w:t>
      </w:r>
      <w:r w:rsidR="007F7316" w:rsidRPr="00F5259C">
        <w:rPr>
          <w:rFonts w:eastAsia="Times New Roman"/>
          <w:szCs w:val="22"/>
        </w:rPr>
        <w:t>improve cognitive function, creativity</w:t>
      </w:r>
      <w:r w:rsidR="00E22EFA">
        <w:rPr>
          <w:rFonts w:eastAsia="Times New Roman"/>
          <w:szCs w:val="22"/>
        </w:rPr>
        <w:t xml:space="preserve"> and </w:t>
      </w:r>
      <w:r w:rsidR="007F7316" w:rsidRPr="00F5259C">
        <w:rPr>
          <w:rFonts w:eastAsia="Times New Roman"/>
          <w:szCs w:val="22"/>
        </w:rPr>
        <w:t>well-being</w:t>
      </w:r>
      <w:r w:rsidR="00E22EFA">
        <w:rPr>
          <w:rFonts w:eastAsia="Times New Roman"/>
          <w:szCs w:val="22"/>
        </w:rPr>
        <w:t>;</w:t>
      </w:r>
      <w:r w:rsidR="007F7316" w:rsidRPr="00F5259C">
        <w:rPr>
          <w:rFonts w:eastAsia="Times New Roman"/>
          <w:szCs w:val="22"/>
        </w:rPr>
        <w:t xml:space="preserve"> reduce stress and expedite healing.</w:t>
      </w:r>
      <w:r w:rsidR="00CB11D9">
        <w:rPr>
          <w:rFonts w:eastAsia="Times New Roman"/>
          <w:szCs w:val="22"/>
        </w:rPr>
        <w:t>”</w:t>
      </w:r>
    </w:p>
    <w:p w14:paraId="65E4CC0E" w14:textId="77777777" w:rsidR="007F7316" w:rsidRDefault="007F7316" w:rsidP="00D70AE2">
      <w:pPr>
        <w:rPr>
          <w:rFonts w:eastAsia="Times New Roman"/>
          <w:szCs w:val="22"/>
        </w:rPr>
      </w:pPr>
    </w:p>
    <w:p w14:paraId="15750FD4" w14:textId="77777777" w:rsidR="00CB11D9" w:rsidRDefault="00CB11D9" w:rsidP="007F7316">
      <w:pPr>
        <w:rPr>
          <w:rFonts w:eastAsia="Times New Roman"/>
          <w:szCs w:val="22"/>
        </w:rPr>
      </w:pPr>
      <w:r>
        <w:rPr>
          <w:rFonts w:eastAsia="Times New Roman"/>
          <w:szCs w:val="22"/>
        </w:rPr>
        <w:t>She elaborated, “</w:t>
      </w:r>
      <w:r w:rsidR="007F7316">
        <w:rPr>
          <w:rFonts w:eastAsia="Times New Roman"/>
          <w:szCs w:val="22"/>
        </w:rPr>
        <w:t xml:space="preserve">These </w:t>
      </w:r>
      <w:r w:rsidR="00D70AE2" w:rsidRPr="00F5259C">
        <w:rPr>
          <w:rFonts w:eastAsia="Times New Roman"/>
          <w:szCs w:val="22"/>
        </w:rPr>
        <w:t>aluminum architectural products</w:t>
      </w:r>
      <w:r w:rsidR="007F7316">
        <w:rPr>
          <w:rFonts w:eastAsia="Times New Roman"/>
          <w:szCs w:val="22"/>
        </w:rPr>
        <w:t xml:space="preserve"> not only resemble natural wood to serve </w:t>
      </w:r>
      <w:r w:rsidR="00D70AE2" w:rsidRPr="00F5259C">
        <w:rPr>
          <w:rFonts w:eastAsia="Times New Roman"/>
          <w:szCs w:val="22"/>
        </w:rPr>
        <w:t xml:space="preserve">biophilic design </w:t>
      </w:r>
      <w:r w:rsidR="007F7316">
        <w:rPr>
          <w:rFonts w:eastAsia="Times New Roman"/>
          <w:szCs w:val="22"/>
        </w:rPr>
        <w:t xml:space="preserve">principals, they also can be thermally improved to support energy efficiency. </w:t>
      </w:r>
      <w:r w:rsidR="007F7316" w:rsidRPr="00F5259C">
        <w:rPr>
          <w:rFonts w:eastAsia="Times New Roman"/>
          <w:szCs w:val="22"/>
        </w:rPr>
        <w:t xml:space="preserve">Wood grain finishes can be applied to </w:t>
      </w:r>
      <w:r w:rsidR="007F7316">
        <w:rPr>
          <w:rFonts w:eastAsia="Times New Roman"/>
          <w:szCs w:val="22"/>
        </w:rPr>
        <w:t xml:space="preserve">recycled </w:t>
      </w:r>
      <w:r w:rsidR="007F7316" w:rsidRPr="00F5259C">
        <w:rPr>
          <w:rFonts w:eastAsia="Times New Roman"/>
          <w:szCs w:val="22"/>
        </w:rPr>
        <w:t xml:space="preserve">aluminum </w:t>
      </w:r>
      <w:r w:rsidR="007F7316">
        <w:rPr>
          <w:rFonts w:eastAsia="Times New Roman"/>
          <w:szCs w:val="22"/>
        </w:rPr>
        <w:t>and,</w:t>
      </w:r>
      <w:r w:rsidR="007F7316" w:rsidRPr="00F5259C">
        <w:rPr>
          <w:rFonts w:eastAsia="Times New Roman"/>
          <w:szCs w:val="22"/>
        </w:rPr>
        <w:t xml:space="preserve"> </w:t>
      </w:r>
      <w:r w:rsidR="007F7316">
        <w:rPr>
          <w:rFonts w:eastAsia="Times New Roman"/>
          <w:szCs w:val="22"/>
        </w:rPr>
        <w:t>at the end of their useful lifecycle as an architectural product</w:t>
      </w:r>
      <w:r w:rsidR="007F7316" w:rsidRPr="00B93C83">
        <w:rPr>
          <w:rFonts w:eastAsia="Times New Roman"/>
          <w:szCs w:val="22"/>
        </w:rPr>
        <w:t>, the aluminum can once more be recycled.</w:t>
      </w:r>
      <w:r w:rsidR="007F7316">
        <w:rPr>
          <w:rFonts w:eastAsia="Times New Roman"/>
          <w:szCs w:val="22"/>
        </w:rPr>
        <w:t xml:space="preserve"> Aluminum also is</w:t>
      </w:r>
      <w:r w:rsidR="007F7316" w:rsidRPr="00F5259C">
        <w:rPr>
          <w:rFonts w:eastAsia="Times New Roman"/>
          <w:szCs w:val="22"/>
        </w:rPr>
        <w:t xml:space="preserve"> easy to fabricate, </w:t>
      </w:r>
      <w:r w:rsidR="007F7316">
        <w:rPr>
          <w:rFonts w:eastAsia="Times New Roman"/>
          <w:szCs w:val="22"/>
        </w:rPr>
        <w:t xml:space="preserve">curve and bend – </w:t>
      </w:r>
      <w:r w:rsidR="007F7316" w:rsidRPr="00F5259C">
        <w:rPr>
          <w:rFonts w:eastAsia="Times New Roman"/>
          <w:szCs w:val="22"/>
        </w:rPr>
        <w:t>typically at a lower cost than real wood.</w:t>
      </w:r>
      <w:r>
        <w:rPr>
          <w:rFonts w:eastAsia="Times New Roman"/>
          <w:szCs w:val="22"/>
        </w:rPr>
        <w:t>”</w:t>
      </w:r>
    </w:p>
    <w:p w14:paraId="46ECEA38" w14:textId="77777777" w:rsidR="00CB11D9" w:rsidRDefault="00CB11D9" w:rsidP="007F7316">
      <w:pPr>
        <w:rPr>
          <w:rFonts w:eastAsia="Times New Roman"/>
          <w:szCs w:val="22"/>
        </w:rPr>
      </w:pPr>
    </w:p>
    <w:p w14:paraId="09E234A6" w14:textId="77777777" w:rsidR="00A54206" w:rsidRPr="00F5259C" w:rsidRDefault="00CB11D9" w:rsidP="00C552EA">
      <w:pPr>
        <w:rPr>
          <w:rFonts w:eastAsia="Times New Roman"/>
          <w:szCs w:val="22"/>
        </w:rPr>
      </w:pPr>
      <w:r>
        <w:rPr>
          <w:rFonts w:eastAsia="Times New Roman"/>
          <w:szCs w:val="22"/>
        </w:rPr>
        <w:t>After installation, t</w:t>
      </w:r>
      <w:r w:rsidR="007F7316" w:rsidRPr="00F5259C">
        <w:rPr>
          <w:rFonts w:eastAsia="Times New Roman"/>
          <w:szCs w:val="22"/>
        </w:rPr>
        <w:t>he</w:t>
      </w:r>
      <w:r>
        <w:rPr>
          <w:rFonts w:eastAsia="Times New Roman"/>
          <w:szCs w:val="22"/>
        </w:rPr>
        <w:t xml:space="preserve"> finished aluminum products</w:t>
      </w:r>
      <w:r w:rsidR="007F7316" w:rsidRPr="00F5259C">
        <w:rPr>
          <w:rFonts w:eastAsia="Times New Roman"/>
          <w:szCs w:val="22"/>
        </w:rPr>
        <w:t xml:space="preserve"> require minimal maintenance.</w:t>
      </w:r>
      <w:r>
        <w:rPr>
          <w:rFonts w:eastAsia="Times New Roman"/>
          <w:szCs w:val="22"/>
        </w:rPr>
        <w:t xml:space="preserve"> </w:t>
      </w:r>
      <w:r w:rsidR="008B13E6" w:rsidRPr="00F5259C">
        <w:rPr>
          <w:rFonts w:eastAsia="Times New Roman"/>
          <w:szCs w:val="22"/>
        </w:rPr>
        <w:t xml:space="preserve">Linetec’s wood grain finishes for aluminum mimic </w:t>
      </w:r>
      <w:r w:rsidR="00C552EA" w:rsidRPr="00F5259C">
        <w:rPr>
          <w:rFonts w:eastAsia="Times New Roman"/>
          <w:szCs w:val="22"/>
        </w:rPr>
        <w:t>the aesthetic of real wood without swelling, rotting, or warping. Scratch</w:t>
      </w:r>
      <w:r w:rsidR="008B13E6" w:rsidRPr="00F5259C">
        <w:rPr>
          <w:rFonts w:eastAsia="Times New Roman"/>
          <w:szCs w:val="22"/>
        </w:rPr>
        <w:t>-</w:t>
      </w:r>
      <w:r w:rsidR="00C552EA" w:rsidRPr="00F5259C">
        <w:rPr>
          <w:rFonts w:eastAsia="Times New Roman"/>
          <w:szCs w:val="22"/>
        </w:rPr>
        <w:t xml:space="preserve"> and corrosion</w:t>
      </w:r>
      <w:r w:rsidR="008B13E6" w:rsidRPr="00F5259C">
        <w:rPr>
          <w:rFonts w:eastAsia="Times New Roman"/>
          <w:szCs w:val="22"/>
        </w:rPr>
        <w:t>-</w:t>
      </w:r>
      <w:r w:rsidR="00C552EA" w:rsidRPr="00F5259C">
        <w:rPr>
          <w:rFonts w:eastAsia="Times New Roman"/>
          <w:szCs w:val="22"/>
        </w:rPr>
        <w:t xml:space="preserve">resistant, </w:t>
      </w:r>
      <w:r w:rsidR="00A54206" w:rsidRPr="00F5259C">
        <w:rPr>
          <w:rFonts w:eastAsia="Times New Roman"/>
          <w:szCs w:val="22"/>
        </w:rPr>
        <w:t>these finishes provide durable protection from UV rays and are impervious to humidity and insects.</w:t>
      </w:r>
    </w:p>
    <w:p w14:paraId="460A70AA" w14:textId="77777777" w:rsidR="00CB11D9" w:rsidRDefault="00CB11D9" w:rsidP="00A54206">
      <w:pPr>
        <w:rPr>
          <w:rFonts w:eastAsia="Times New Roman"/>
          <w:szCs w:val="22"/>
        </w:rPr>
      </w:pPr>
    </w:p>
    <w:p w14:paraId="1990F19E" w14:textId="77777777" w:rsidR="009713D4" w:rsidRDefault="00A54206">
      <w:pPr>
        <w:rPr>
          <w:sz w:val="20"/>
          <w:szCs w:val="20"/>
          <w:u w:val="single"/>
        </w:rPr>
      </w:pPr>
      <w:bookmarkStart w:id="0" w:name="_GoBack"/>
      <w:r w:rsidRPr="00F5259C">
        <w:rPr>
          <w:rFonts w:eastAsia="Times New Roman"/>
          <w:szCs w:val="22"/>
        </w:rPr>
        <w:t>Linetec is an environmentally responsible finisher</w:t>
      </w:r>
      <w:r w:rsidR="00277F81">
        <w:rPr>
          <w:rFonts w:eastAsia="Times New Roman"/>
          <w:szCs w:val="22"/>
        </w:rPr>
        <w:t xml:space="preserve">, </w:t>
      </w:r>
      <w:r w:rsidRPr="00F5259C">
        <w:rPr>
          <w:rFonts w:eastAsia="Times New Roman"/>
          <w:szCs w:val="22"/>
        </w:rPr>
        <w:t xml:space="preserve">its wood grain finishes </w:t>
      </w:r>
      <w:r w:rsidR="00277F81">
        <w:rPr>
          <w:rFonts w:eastAsia="Times New Roman"/>
          <w:szCs w:val="22"/>
        </w:rPr>
        <w:t xml:space="preserve">application </w:t>
      </w:r>
      <w:r w:rsidRPr="00F5259C">
        <w:rPr>
          <w:rFonts w:eastAsia="Times New Roman"/>
          <w:szCs w:val="22"/>
        </w:rPr>
        <w:t>util</w:t>
      </w:r>
      <w:r w:rsidR="00277F81">
        <w:rPr>
          <w:rFonts w:eastAsia="Times New Roman"/>
          <w:szCs w:val="22"/>
        </w:rPr>
        <w:t>izes</w:t>
      </w:r>
      <w:r w:rsidRPr="00F5259C">
        <w:rPr>
          <w:rFonts w:eastAsia="Times New Roman"/>
          <w:szCs w:val="22"/>
        </w:rPr>
        <w:t xml:space="preserve"> a powder coat sublimation process</w:t>
      </w:r>
      <w:r w:rsidR="00277F81">
        <w:rPr>
          <w:rFonts w:eastAsia="Times New Roman"/>
          <w:szCs w:val="22"/>
        </w:rPr>
        <w:t>.</w:t>
      </w:r>
      <w:r w:rsidRPr="00F5259C">
        <w:rPr>
          <w:rFonts w:eastAsia="Times New Roman"/>
          <w:szCs w:val="22"/>
        </w:rPr>
        <w:t xml:space="preserve"> </w:t>
      </w:r>
      <w:r w:rsidR="00CB11D9">
        <w:rPr>
          <w:rFonts w:eastAsia="Times New Roman"/>
          <w:szCs w:val="22"/>
        </w:rPr>
        <w:t xml:space="preserve">These </w:t>
      </w:r>
      <w:r w:rsidR="00C552EA" w:rsidRPr="00F5259C">
        <w:rPr>
          <w:rFonts w:eastAsia="Times New Roman"/>
          <w:szCs w:val="22"/>
        </w:rPr>
        <w:t xml:space="preserve">finishes </w:t>
      </w:r>
      <w:r w:rsidR="00CB11D9">
        <w:rPr>
          <w:rFonts w:eastAsia="Times New Roman"/>
          <w:szCs w:val="22"/>
        </w:rPr>
        <w:t xml:space="preserve">are applied to </w:t>
      </w:r>
      <w:r w:rsidR="008B13E6" w:rsidRPr="00F5259C">
        <w:rPr>
          <w:rFonts w:eastAsia="Times New Roman"/>
          <w:szCs w:val="22"/>
        </w:rPr>
        <w:t xml:space="preserve">meet </w:t>
      </w:r>
      <w:r w:rsidR="00CB11D9">
        <w:rPr>
          <w:rFonts w:eastAsia="Times New Roman"/>
          <w:szCs w:val="22"/>
        </w:rPr>
        <w:t xml:space="preserve">or exceed </w:t>
      </w:r>
      <w:r w:rsidR="008B13E6" w:rsidRPr="00F5259C">
        <w:rPr>
          <w:rFonts w:eastAsia="Times New Roman"/>
          <w:szCs w:val="22"/>
        </w:rPr>
        <w:t xml:space="preserve">the American Architectural Manufacturers Association (AAMA) 2604 standard. This </w:t>
      </w:r>
      <w:r w:rsidR="00CB11D9">
        <w:rPr>
          <w:rFonts w:eastAsia="Times New Roman"/>
          <w:szCs w:val="22"/>
        </w:rPr>
        <w:t xml:space="preserve">helps ensure </w:t>
      </w:r>
      <w:r w:rsidR="008B13E6" w:rsidRPr="00F5259C">
        <w:rPr>
          <w:rFonts w:eastAsia="Times New Roman"/>
          <w:szCs w:val="22"/>
        </w:rPr>
        <w:t xml:space="preserve">reliable performance as specified and a </w:t>
      </w:r>
      <w:r w:rsidR="00DB0118">
        <w:rPr>
          <w:rFonts w:eastAsia="Times New Roman"/>
          <w:szCs w:val="22"/>
        </w:rPr>
        <w:t xml:space="preserve">finish performance </w:t>
      </w:r>
      <w:r w:rsidR="00C552EA" w:rsidRPr="00F5259C">
        <w:rPr>
          <w:rFonts w:eastAsia="Times New Roman"/>
          <w:szCs w:val="22"/>
        </w:rPr>
        <w:t>warranty in most indoor and outdoor environments.</w:t>
      </w:r>
    </w:p>
    <w:bookmarkEnd w:id="0"/>
    <w:p w14:paraId="2C0486D3" w14:textId="77777777" w:rsidR="00062AF6" w:rsidRDefault="00062AF6">
      <w:pPr>
        <w:rPr>
          <w:sz w:val="20"/>
          <w:szCs w:val="20"/>
          <w:u w:val="single"/>
        </w:rPr>
      </w:pPr>
      <w:r>
        <w:rPr>
          <w:sz w:val="20"/>
          <w:szCs w:val="20"/>
          <w:u w:val="single"/>
        </w:rPr>
        <w:br w:type="page"/>
      </w:r>
    </w:p>
    <w:p w14:paraId="6891F54A" w14:textId="66DF9FDB" w:rsidR="00B15758" w:rsidRPr="00274BA2" w:rsidRDefault="00B15758" w:rsidP="00B15758">
      <w:pPr>
        <w:ind w:right="-7"/>
        <w:contextualSpacing/>
        <w:rPr>
          <w:sz w:val="20"/>
          <w:szCs w:val="20"/>
          <w:u w:val="single"/>
        </w:rPr>
      </w:pPr>
      <w:r w:rsidRPr="00274BA2">
        <w:rPr>
          <w:sz w:val="20"/>
          <w:szCs w:val="20"/>
          <w:u w:val="single"/>
        </w:rPr>
        <w:lastRenderedPageBreak/>
        <w:t>About Linetec</w:t>
      </w:r>
    </w:p>
    <w:p w14:paraId="427C0F3E" w14:textId="77777777" w:rsidR="00B15758" w:rsidRPr="00274BA2" w:rsidRDefault="00B15758" w:rsidP="00B15758">
      <w:pPr>
        <w:ind w:right="-7"/>
        <w:contextualSpacing/>
        <w:rPr>
          <w:sz w:val="20"/>
          <w:szCs w:val="20"/>
        </w:rPr>
      </w:pPr>
      <w:r w:rsidRPr="00274BA2">
        <w:rPr>
          <w:rStyle w:val="Emphasis"/>
          <w:sz w:val="20"/>
          <w:szCs w:val="20"/>
        </w:rPr>
        <w:t xml:space="preserve">Located in Wisconsin, </w:t>
      </w:r>
      <w:hyperlink r:id="rId9" w:tgtFrame="_blank" w:history="1">
        <w:r w:rsidRPr="00274BA2">
          <w:rPr>
            <w:rStyle w:val="Hyperlink"/>
            <w:i/>
            <w:iCs/>
            <w:sz w:val="20"/>
            <w:szCs w:val="20"/>
          </w:rPr>
          <w:t>Linetec</w:t>
        </w:r>
      </w:hyperlink>
      <w:r w:rsidRPr="00274BA2">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274BA2">
          <w:rPr>
            <w:rStyle w:val="Hyperlink"/>
            <w:i/>
            <w:iCs/>
            <w:sz w:val="20"/>
            <w:szCs w:val="20"/>
          </w:rPr>
          <w:t xml:space="preserve">Apogee Enterprises, Inc. </w:t>
        </w:r>
      </w:hyperlink>
      <w:r w:rsidRPr="00274BA2">
        <w:rPr>
          <w:rStyle w:val="Emphasis"/>
          <w:sz w:val="20"/>
          <w:szCs w:val="20"/>
        </w:rPr>
        <w:t>(NASDAQ: APOG).</w:t>
      </w:r>
    </w:p>
    <w:p w14:paraId="2C61A4ED" w14:textId="77777777" w:rsidR="00B15758" w:rsidRPr="00274BA2" w:rsidRDefault="00B15758" w:rsidP="00B15758">
      <w:pPr>
        <w:pStyle w:val="NormalWeb"/>
        <w:spacing w:before="0" w:beforeAutospacing="0" w:after="0" w:afterAutospacing="0"/>
        <w:ind w:right="-7"/>
        <w:contextualSpacing/>
        <w:rPr>
          <w:rStyle w:val="Emphasis"/>
          <w:rFonts w:ascii="Times New Roman" w:hAnsi="Times New Roman"/>
        </w:rPr>
      </w:pPr>
    </w:p>
    <w:p w14:paraId="3900E50D" w14:textId="77777777" w:rsidR="00B15758" w:rsidRPr="00274BA2" w:rsidRDefault="00B15758" w:rsidP="00B15758">
      <w:pPr>
        <w:pStyle w:val="NormalWeb"/>
        <w:spacing w:before="0" w:beforeAutospacing="0" w:after="0" w:afterAutospacing="0"/>
        <w:ind w:right="-7"/>
        <w:contextualSpacing/>
        <w:rPr>
          <w:rFonts w:ascii="Times New Roman" w:hAnsi="Times New Roman"/>
          <w:i/>
        </w:rPr>
      </w:pPr>
      <w:r w:rsidRPr="00274BA2">
        <w:rPr>
          <w:rStyle w:val="Emphasis"/>
          <w:rFonts w:ascii="Times New Roman" w:hAnsi="Times New Roman"/>
        </w:rPr>
        <w:t>Linetec is a member of the Aluminum Anodizers Council (</w:t>
      </w:r>
      <w:hyperlink r:id="rId11" w:tgtFrame="_blank" w:history="1">
        <w:r w:rsidRPr="00274BA2">
          <w:rPr>
            <w:rStyle w:val="Hyperlink"/>
            <w:rFonts w:ascii="Times New Roman" w:hAnsi="Times New Roman"/>
            <w:i/>
            <w:iCs/>
          </w:rPr>
          <w:t>AAC</w:t>
        </w:r>
      </w:hyperlink>
      <w:r w:rsidRPr="00274BA2">
        <w:rPr>
          <w:rStyle w:val="Emphasis"/>
          <w:rFonts w:ascii="Times New Roman" w:hAnsi="Times New Roman"/>
        </w:rPr>
        <w:t>), the American Architectural Manufacturers Association (</w:t>
      </w:r>
      <w:hyperlink r:id="rId12" w:tgtFrame="_blank" w:history="1">
        <w:r w:rsidRPr="00274BA2">
          <w:rPr>
            <w:rStyle w:val="Hyperlink"/>
            <w:rFonts w:ascii="Times New Roman" w:hAnsi="Times New Roman"/>
            <w:i/>
            <w:iCs/>
          </w:rPr>
          <w:t>AAMA</w:t>
        </w:r>
      </w:hyperlink>
      <w:r w:rsidRPr="00274BA2">
        <w:rPr>
          <w:rStyle w:val="Emphasis"/>
          <w:rFonts w:ascii="Times New Roman" w:hAnsi="Times New Roman"/>
        </w:rPr>
        <w:t>), the American Institute of Architects (</w:t>
      </w:r>
      <w:hyperlink r:id="rId13" w:tgtFrame="_blank" w:history="1">
        <w:r w:rsidRPr="00274BA2">
          <w:rPr>
            <w:rStyle w:val="Hyperlink"/>
            <w:rFonts w:ascii="Times New Roman" w:hAnsi="Times New Roman"/>
            <w:i/>
            <w:iCs/>
          </w:rPr>
          <w:t>AIA</w:t>
        </w:r>
      </w:hyperlink>
      <w:r w:rsidRPr="00274BA2">
        <w:rPr>
          <w:rStyle w:val="Emphasis"/>
          <w:rFonts w:ascii="Times New Roman" w:hAnsi="Times New Roman"/>
        </w:rPr>
        <w:t>), the Association of Licensed Architects (</w:t>
      </w:r>
      <w:hyperlink r:id="rId14" w:tgtFrame="_blank" w:history="1">
        <w:r w:rsidRPr="00274BA2">
          <w:rPr>
            <w:rStyle w:val="Hyperlink"/>
            <w:rFonts w:ascii="Times New Roman" w:hAnsi="Times New Roman"/>
            <w:i/>
            <w:iCs/>
          </w:rPr>
          <w:t>ALA</w:t>
        </w:r>
      </w:hyperlink>
      <w:r w:rsidRPr="00274BA2">
        <w:rPr>
          <w:rStyle w:val="Emphasis"/>
          <w:rFonts w:ascii="Times New Roman" w:hAnsi="Times New Roman"/>
        </w:rPr>
        <w:t>), the National Glass Association/Glass Association of North America (NGA/</w:t>
      </w:r>
      <w:hyperlink r:id="rId15" w:tgtFrame="_blank" w:history="1">
        <w:r w:rsidRPr="00274BA2">
          <w:rPr>
            <w:rStyle w:val="Hyperlink"/>
            <w:rFonts w:ascii="Times New Roman" w:hAnsi="Times New Roman"/>
            <w:i/>
            <w:iCs/>
          </w:rPr>
          <w:t>GANA</w:t>
        </w:r>
      </w:hyperlink>
      <w:r w:rsidRPr="00274BA2">
        <w:rPr>
          <w:rStyle w:val="Emphasis"/>
          <w:rFonts w:ascii="Times New Roman" w:hAnsi="Times New Roman"/>
        </w:rPr>
        <w:t>), the U.S. Green Building Council (</w:t>
      </w:r>
      <w:hyperlink r:id="rId16" w:tgtFrame="_blank" w:history="1">
        <w:r w:rsidRPr="00274BA2">
          <w:rPr>
            <w:rStyle w:val="Hyperlink"/>
            <w:rFonts w:ascii="Times New Roman" w:hAnsi="Times New Roman"/>
            <w:i/>
            <w:iCs/>
          </w:rPr>
          <w:t>USGBC</w:t>
        </w:r>
      </w:hyperlink>
      <w:r w:rsidRPr="00274BA2">
        <w:rPr>
          <w:rStyle w:val="Emphasis"/>
          <w:rFonts w:ascii="Times New Roman" w:hAnsi="Times New Roman"/>
        </w:rPr>
        <w:t>) and the Window and Door Manufacturers Association (</w:t>
      </w:r>
      <w:hyperlink r:id="rId17" w:tgtFrame="_blank" w:history="1">
        <w:r w:rsidRPr="00274BA2">
          <w:rPr>
            <w:rStyle w:val="Hyperlink"/>
            <w:rFonts w:ascii="Times New Roman" w:hAnsi="Times New Roman"/>
            <w:i/>
            <w:iCs/>
          </w:rPr>
          <w:t>WDMA</w:t>
        </w:r>
      </w:hyperlink>
      <w:r w:rsidRPr="00274BA2">
        <w:rPr>
          <w:rStyle w:val="Emphasis"/>
          <w:rFonts w:ascii="Times New Roman" w:hAnsi="Times New Roman"/>
        </w:rPr>
        <w:t>).</w:t>
      </w:r>
    </w:p>
    <w:p w14:paraId="725FEC1A" w14:textId="77777777" w:rsidR="00B15758" w:rsidRPr="00274BA2" w:rsidRDefault="00B15758" w:rsidP="00B15758">
      <w:pPr>
        <w:pStyle w:val="NormalWeb"/>
        <w:spacing w:before="0" w:beforeAutospacing="0" w:after="0" w:afterAutospacing="0"/>
        <w:ind w:right="-7"/>
        <w:contextualSpacing/>
        <w:jc w:val="center"/>
        <w:rPr>
          <w:rFonts w:ascii="Times New Roman" w:hAnsi="Times New Roman"/>
          <w:i/>
        </w:rPr>
      </w:pPr>
      <w:r w:rsidRPr="00274BA2">
        <w:rPr>
          <w:rStyle w:val="Emphasis"/>
          <w:rFonts w:ascii="Times New Roman" w:hAnsi="Times New Roman"/>
        </w:rPr>
        <w:t>###</w:t>
      </w:r>
    </w:p>
    <w:sectPr w:rsidR="00B15758" w:rsidRPr="00274BA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7D67" w14:textId="77777777" w:rsidR="00FE4B91" w:rsidRDefault="00FE4B91" w:rsidP="00906415">
      <w:r>
        <w:separator/>
      </w:r>
    </w:p>
  </w:endnote>
  <w:endnote w:type="continuationSeparator" w:id="0">
    <w:p w14:paraId="65DC0883" w14:textId="77777777" w:rsidR="00FE4B91" w:rsidRDefault="00FE4B91"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altName w:val="Lucida Sans Unicode"/>
    <w:panose1 w:val="020B0602020204020303"/>
    <w:charset w:val="00"/>
    <w:family w:val="swiss"/>
    <w:pitch w:val="variable"/>
    <w:sig w:usb0="80000867"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E87DD" w14:textId="77777777" w:rsidR="00FE4B91" w:rsidRDefault="00FE4B91" w:rsidP="00906415">
      <w:r>
        <w:separator/>
      </w:r>
    </w:p>
  </w:footnote>
  <w:footnote w:type="continuationSeparator" w:id="0">
    <w:p w14:paraId="0E3E1187" w14:textId="77777777" w:rsidR="00FE4B91" w:rsidRDefault="00FE4B91"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0"/>
  </w:num>
  <w:num w:numId="2">
    <w:abstractNumId w:val="1"/>
  </w:num>
  <w:num w:numId="3">
    <w:abstractNumId w:val="0"/>
  </w:num>
  <w:num w:numId="4">
    <w:abstractNumId w:val="4"/>
  </w:num>
  <w:num w:numId="5">
    <w:abstractNumId w:val="8"/>
  </w:num>
  <w:num w:numId="6">
    <w:abstractNumId w:val="6"/>
  </w:num>
  <w:num w:numId="7">
    <w:abstractNumId w:val="5"/>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16EF5"/>
    <w:rsid w:val="00035AE6"/>
    <w:rsid w:val="00037DA3"/>
    <w:rsid w:val="000448D9"/>
    <w:rsid w:val="000534D4"/>
    <w:rsid w:val="000552CE"/>
    <w:rsid w:val="000613D9"/>
    <w:rsid w:val="00062AF6"/>
    <w:rsid w:val="00066830"/>
    <w:rsid w:val="00074D99"/>
    <w:rsid w:val="00080AA6"/>
    <w:rsid w:val="00084115"/>
    <w:rsid w:val="00096563"/>
    <w:rsid w:val="000A25A1"/>
    <w:rsid w:val="000A3577"/>
    <w:rsid w:val="000A6589"/>
    <w:rsid w:val="000B09C8"/>
    <w:rsid w:val="000B730A"/>
    <w:rsid w:val="000E3EA9"/>
    <w:rsid w:val="000F3123"/>
    <w:rsid w:val="000F50FC"/>
    <w:rsid w:val="00106510"/>
    <w:rsid w:val="00107FF0"/>
    <w:rsid w:val="00121F88"/>
    <w:rsid w:val="00123C98"/>
    <w:rsid w:val="00124289"/>
    <w:rsid w:val="001248A8"/>
    <w:rsid w:val="001317D2"/>
    <w:rsid w:val="00132C72"/>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B3B5D"/>
    <w:rsid w:val="001C25C0"/>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77F81"/>
    <w:rsid w:val="0028090A"/>
    <w:rsid w:val="00281AD3"/>
    <w:rsid w:val="002850A4"/>
    <w:rsid w:val="00295D43"/>
    <w:rsid w:val="002A4E86"/>
    <w:rsid w:val="002B0081"/>
    <w:rsid w:val="002B1AFE"/>
    <w:rsid w:val="002B7050"/>
    <w:rsid w:val="002C5080"/>
    <w:rsid w:val="002D0657"/>
    <w:rsid w:val="002D74B4"/>
    <w:rsid w:val="002E4B8E"/>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10A78"/>
    <w:rsid w:val="0041438D"/>
    <w:rsid w:val="0042006E"/>
    <w:rsid w:val="00425144"/>
    <w:rsid w:val="004342C8"/>
    <w:rsid w:val="00440591"/>
    <w:rsid w:val="004407D4"/>
    <w:rsid w:val="00444DBE"/>
    <w:rsid w:val="00476C45"/>
    <w:rsid w:val="00477B9B"/>
    <w:rsid w:val="0048028C"/>
    <w:rsid w:val="00485572"/>
    <w:rsid w:val="004A10AD"/>
    <w:rsid w:val="004C3D90"/>
    <w:rsid w:val="004C4DFE"/>
    <w:rsid w:val="004D00F0"/>
    <w:rsid w:val="004D7D1E"/>
    <w:rsid w:val="004E2376"/>
    <w:rsid w:val="00500CEB"/>
    <w:rsid w:val="005027A1"/>
    <w:rsid w:val="00533234"/>
    <w:rsid w:val="0054009D"/>
    <w:rsid w:val="00545B80"/>
    <w:rsid w:val="00547D17"/>
    <w:rsid w:val="00551E99"/>
    <w:rsid w:val="00561675"/>
    <w:rsid w:val="00571542"/>
    <w:rsid w:val="00571CBE"/>
    <w:rsid w:val="00585D99"/>
    <w:rsid w:val="005903D5"/>
    <w:rsid w:val="005934CD"/>
    <w:rsid w:val="005B6967"/>
    <w:rsid w:val="005B6AD6"/>
    <w:rsid w:val="005B6CA2"/>
    <w:rsid w:val="005C21B3"/>
    <w:rsid w:val="005C4C6A"/>
    <w:rsid w:val="005D76EE"/>
    <w:rsid w:val="005E4F14"/>
    <w:rsid w:val="005E62A0"/>
    <w:rsid w:val="00603E7F"/>
    <w:rsid w:val="006051AE"/>
    <w:rsid w:val="00621DBF"/>
    <w:rsid w:val="00635BF5"/>
    <w:rsid w:val="006560B2"/>
    <w:rsid w:val="006570F2"/>
    <w:rsid w:val="006632D9"/>
    <w:rsid w:val="0067170D"/>
    <w:rsid w:val="006946F7"/>
    <w:rsid w:val="006A23C7"/>
    <w:rsid w:val="006B5A3B"/>
    <w:rsid w:val="006C7A6B"/>
    <w:rsid w:val="006D42D8"/>
    <w:rsid w:val="006D4572"/>
    <w:rsid w:val="006D744B"/>
    <w:rsid w:val="006D7D62"/>
    <w:rsid w:val="006E1E9A"/>
    <w:rsid w:val="006E66F9"/>
    <w:rsid w:val="006F6FFE"/>
    <w:rsid w:val="00706C76"/>
    <w:rsid w:val="00710BA6"/>
    <w:rsid w:val="00713A75"/>
    <w:rsid w:val="00731637"/>
    <w:rsid w:val="007349CB"/>
    <w:rsid w:val="0073606E"/>
    <w:rsid w:val="00740030"/>
    <w:rsid w:val="00761103"/>
    <w:rsid w:val="00771F37"/>
    <w:rsid w:val="00776C2D"/>
    <w:rsid w:val="00782FB4"/>
    <w:rsid w:val="00791248"/>
    <w:rsid w:val="00791CCD"/>
    <w:rsid w:val="00793856"/>
    <w:rsid w:val="007C5D16"/>
    <w:rsid w:val="007E1BC9"/>
    <w:rsid w:val="007E5663"/>
    <w:rsid w:val="007F03A9"/>
    <w:rsid w:val="007F7316"/>
    <w:rsid w:val="00813712"/>
    <w:rsid w:val="00815700"/>
    <w:rsid w:val="00817AE9"/>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B13E6"/>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26F82"/>
    <w:rsid w:val="00934344"/>
    <w:rsid w:val="00955A18"/>
    <w:rsid w:val="00970CFA"/>
    <w:rsid w:val="009713D4"/>
    <w:rsid w:val="009A7759"/>
    <w:rsid w:val="009B2322"/>
    <w:rsid w:val="009B3FF4"/>
    <w:rsid w:val="009C7B20"/>
    <w:rsid w:val="009D40A3"/>
    <w:rsid w:val="00A00CB0"/>
    <w:rsid w:val="00A232EA"/>
    <w:rsid w:val="00A35964"/>
    <w:rsid w:val="00A371B5"/>
    <w:rsid w:val="00A54206"/>
    <w:rsid w:val="00A559B1"/>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5758"/>
    <w:rsid w:val="00B20F60"/>
    <w:rsid w:val="00B2392C"/>
    <w:rsid w:val="00B264C2"/>
    <w:rsid w:val="00B32707"/>
    <w:rsid w:val="00B34C55"/>
    <w:rsid w:val="00B35C93"/>
    <w:rsid w:val="00B450C4"/>
    <w:rsid w:val="00B46DA5"/>
    <w:rsid w:val="00B511D6"/>
    <w:rsid w:val="00B549A1"/>
    <w:rsid w:val="00B669C1"/>
    <w:rsid w:val="00B74792"/>
    <w:rsid w:val="00B82C51"/>
    <w:rsid w:val="00B8503B"/>
    <w:rsid w:val="00B90A2F"/>
    <w:rsid w:val="00B93C83"/>
    <w:rsid w:val="00B95436"/>
    <w:rsid w:val="00B96D4E"/>
    <w:rsid w:val="00BA0F46"/>
    <w:rsid w:val="00BA454B"/>
    <w:rsid w:val="00BA51EE"/>
    <w:rsid w:val="00BB04E0"/>
    <w:rsid w:val="00BB1170"/>
    <w:rsid w:val="00BB2152"/>
    <w:rsid w:val="00BB3B06"/>
    <w:rsid w:val="00BB5C20"/>
    <w:rsid w:val="00BC3337"/>
    <w:rsid w:val="00BC4169"/>
    <w:rsid w:val="00BC622F"/>
    <w:rsid w:val="00BD319D"/>
    <w:rsid w:val="00BD355D"/>
    <w:rsid w:val="00BD5379"/>
    <w:rsid w:val="00BD5A28"/>
    <w:rsid w:val="00BD60D4"/>
    <w:rsid w:val="00BE40EF"/>
    <w:rsid w:val="00BE47BE"/>
    <w:rsid w:val="00C03265"/>
    <w:rsid w:val="00C06F0C"/>
    <w:rsid w:val="00C06F14"/>
    <w:rsid w:val="00C100C9"/>
    <w:rsid w:val="00C2153A"/>
    <w:rsid w:val="00C2421E"/>
    <w:rsid w:val="00C2582A"/>
    <w:rsid w:val="00C30467"/>
    <w:rsid w:val="00C33EB6"/>
    <w:rsid w:val="00C37E75"/>
    <w:rsid w:val="00C46159"/>
    <w:rsid w:val="00C552EA"/>
    <w:rsid w:val="00C74A6F"/>
    <w:rsid w:val="00C829AB"/>
    <w:rsid w:val="00C8390A"/>
    <w:rsid w:val="00C8569C"/>
    <w:rsid w:val="00C93B17"/>
    <w:rsid w:val="00CA4BB9"/>
    <w:rsid w:val="00CA6F24"/>
    <w:rsid w:val="00CB003E"/>
    <w:rsid w:val="00CB11D9"/>
    <w:rsid w:val="00CB21CA"/>
    <w:rsid w:val="00CB4668"/>
    <w:rsid w:val="00CE1D4D"/>
    <w:rsid w:val="00CE41E4"/>
    <w:rsid w:val="00CE5AE1"/>
    <w:rsid w:val="00CF25FE"/>
    <w:rsid w:val="00CF2832"/>
    <w:rsid w:val="00D06210"/>
    <w:rsid w:val="00D10826"/>
    <w:rsid w:val="00D15B49"/>
    <w:rsid w:val="00D354B4"/>
    <w:rsid w:val="00D37826"/>
    <w:rsid w:val="00D445D6"/>
    <w:rsid w:val="00D456A0"/>
    <w:rsid w:val="00D609BE"/>
    <w:rsid w:val="00D65AD0"/>
    <w:rsid w:val="00D70AE2"/>
    <w:rsid w:val="00D75014"/>
    <w:rsid w:val="00D77B49"/>
    <w:rsid w:val="00D8220E"/>
    <w:rsid w:val="00D9076E"/>
    <w:rsid w:val="00D9253D"/>
    <w:rsid w:val="00DB0118"/>
    <w:rsid w:val="00DB68D4"/>
    <w:rsid w:val="00DC625B"/>
    <w:rsid w:val="00DC66DB"/>
    <w:rsid w:val="00DD5C61"/>
    <w:rsid w:val="00DD5E6D"/>
    <w:rsid w:val="00DE430F"/>
    <w:rsid w:val="00DE4FEB"/>
    <w:rsid w:val="00DF1A70"/>
    <w:rsid w:val="00DF5634"/>
    <w:rsid w:val="00E03BC7"/>
    <w:rsid w:val="00E041D8"/>
    <w:rsid w:val="00E21448"/>
    <w:rsid w:val="00E21AD3"/>
    <w:rsid w:val="00E22EFA"/>
    <w:rsid w:val="00E23EB0"/>
    <w:rsid w:val="00E25485"/>
    <w:rsid w:val="00E30DC1"/>
    <w:rsid w:val="00E3445A"/>
    <w:rsid w:val="00E36FB3"/>
    <w:rsid w:val="00E3739A"/>
    <w:rsid w:val="00E42D39"/>
    <w:rsid w:val="00E43772"/>
    <w:rsid w:val="00E450E8"/>
    <w:rsid w:val="00E52EF6"/>
    <w:rsid w:val="00E54460"/>
    <w:rsid w:val="00E54A72"/>
    <w:rsid w:val="00E57E5B"/>
    <w:rsid w:val="00E87485"/>
    <w:rsid w:val="00E90A2C"/>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114C8"/>
    <w:rsid w:val="00F210C5"/>
    <w:rsid w:val="00F24DD8"/>
    <w:rsid w:val="00F510B1"/>
    <w:rsid w:val="00F5259C"/>
    <w:rsid w:val="00F624A0"/>
    <w:rsid w:val="00F63272"/>
    <w:rsid w:val="00F67DA6"/>
    <w:rsid w:val="00F7065D"/>
    <w:rsid w:val="00F71B9F"/>
    <w:rsid w:val="00F71F9A"/>
    <w:rsid w:val="00F73CA7"/>
    <w:rsid w:val="00F75878"/>
    <w:rsid w:val="00F76A35"/>
    <w:rsid w:val="00F86C06"/>
    <w:rsid w:val="00FA0180"/>
    <w:rsid w:val="00FA185F"/>
    <w:rsid w:val="00FA2C51"/>
    <w:rsid w:val="00FA2D03"/>
    <w:rsid w:val="00FB68C1"/>
    <w:rsid w:val="00FC0D5B"/>
    <w:rsid w:val="00FC4536"/>
    <w:rsid w:val="00FD3982"/>
    <w:rsid w:val="00FE0266"/>
    <w:rsid w:val="00FE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121AF"/>
  <w15:docId w15:val="{AB2D5A01-E4E0-7344-9541-C7D1ABDA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manet.org" TargetMode="External"/><Relationship Id="rId17" Type="http://schemas.openxmlformats.org/officeDocument/2006/relationships/hyperlink" Target="http://www.wdma.com" TargetMode="External"/><Relationship Id="rId2" Type="http://schemas.openxmlformats.org/officeDocument/2006/relationships/numbering" Target="numbering.xml"/><Relationship Id="rId16" Type="http://schemas.openxmlformats.org/officeDocument/2006/relationships/hyperlink" Target="http://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glasswebsite.com/" TargetMode="External"/><Relationship Id="rId10" Type="http://schemas.openxmlformats.org/officeDocument/2006/relationships/hyperlink" Target="http://www.apo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DE16-9475-FB40-86FF-55C29274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4443</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4</cp:revision>
  <cp:lastPrinted>2019-03-26T13:04:00Z</cp:lastPrinted>
  <dcterms:created xsi:type="dcterms:W3CDTF">2019-03-15T18:43:00Z</dcterms:created>
  <dcterms:modified xsi:type="dcterms:W3CDTF">2019-03-26T16:19:00Z</dcterms:modified>
</cp:coreProperties>
</file>