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2A3CAC">
      <w:pPr>
        <w:ind w:right="-97"/>
        <w:rPr>
          <w:rFonts w:ascii="Helvetica" w:hAnsi="Helvetica"/>
          <w:b/>
          <w:color w:val="000000"/>
          <w:sz w:val="20"/>
          <w:u w:val="single"/>
        </w:rPr>
      </w:pPr>
    </w:p>
    <w:p w14:paraId="4E3C9646" w14:textId="77777777" w:rsidR="002A3CAC" w:rsidRPr="002A3CAC" w:rsidRDefault="002A3CAC" w:rsidP="002A3CAC">
      <w:pPr>
        <w:pStyle w:val="xmsoplaintext"/>
        <w:spacing w:before="0" w:beforeAutospacing="0" w:after="0" w:afterAutospacing="0"/>
        <w:ind w:right="-97"/>
        <w:contextualSpacing/>
        <w:rPr>
          <w:rFonts w:ascii="Helvetica" w:hAnsi="Helvetica" w:cs="Arial"/>
          <w:b/>
          <w:sz w:val="28"/>
          <w:szCs w:val="28"/>
        </w:rPr>
      </w:pPr>
      <w:r w:rsidRPr="002A3CAC">
        <w:rPr>
          <w:rFonts w:ascii="Helvetica" w:hAnsi="Helvetica" w:cs="Arial"/>
          <w:b/>
          <w:sz w:val="28"/>
          <w:szCs w:val="28"/>
        </w:rPr>
        <w:t>Navajo Tribal Utility Authority’s office blends Tubelite’s modern, high-performance systems with traditional, culturally inspired design</w:t>
      </w:r>
    </w:p>
    <w:p w14:paraId="4BD26C33" w14:textId="77777777" w:rsidR="00596850" w:rsidRPr="009161A1" w:rsidRDefault="00596850" w:rsidP="00E91579">
      <w:pPr>
        <w:ind w:right="533"/>
        <w:contextualSpacing/>
        <w:rPr>
          <w:color w:val="000000"/>
          <w:sz w:val="22"/>
          <w:szCs w:val="22"/>
        </w:rPr>
      </w:pPr>
    </w:p>
    <w:p w14:paraId="160BC6A3" w14:textId="77777777" w:rsidR="002A3CAC" w:rsidRPr="002A3CAC" w:rsidRDefault="005330D1" w:rsidP="002A3CAC">
      <w:pPr>
        <w:contextualSpacing/>
        <w:rPr>
          <w:bCs/>
          <w:sz w:val="22"/>
          <w:szCs w:val="22"/>
        </w:rPr>
      </w:pPr>
      <w:r w:rsidRPr="002A3CAC">
        <w:rPr>
          <w:sz w:val="22"/>
          <w:szCs w:val="22"/>
        </w:rPr>
        <w:t>Walker, Michigan (</w:t>
      </w:r>
      <w:r w:rsidR="002A3CAC" w:rsidRPr="002A3CAC">
        <w:rPr>
          <w:sz w:val="22"/>
          <w:szCs w:val="22"/>
        </w:rPr>
        <w:t>April</w:t>
      </w:r>
      <w:r w:rsidR="004C7156" w:rsidRPr="002A3CAC">
        <w:rPr>
          <w:sz w:val="22"/>
          <w:szCs w:val="22"/>
        </w:rPr>
        <w:t xml:space="preserve"> 2020)</w:t>
      </w:r>
      <w:r w:rsidR="0019683A" w:rsidRPr="002A3CAC">
        <w:rPr>
          <w:sz w:val="22"/>
          <w:szCs w:val="22"/>
        </w:rPr>
        <w:t xml:space="preserve"> </w:t>
      </w:r>
      <w:r w:rsidR="00F40181" w:rsidRPr="002A3CAC">
        <w:rPr>
          <w:sz w:val="22"/>
          <w:szCs w:val="22"/>
        </w:rPr>
        <w:t>–</w:t>
      </w:r>
      <w:r w:rsidR="00A54522" w:rsidRPr="002A3CAC">
        <w:rPr>
          <w:sz w:val="22"/>
          <w:szCs w:val="22"/>
        </w:rPr>
        <w:t xml:space="preserve"> </w:t>
      </w:r>
      <w:r w:rsidR="002A3CAC" w:rsidRPr="002A3CAC">
        <w:rPr>
          <w:sz w:val="22"/>
          <w:szCs w:val="22"/>
        </w:rPr>
        <w:t>The Navajo Tribal Utility Authority (</w:t>
      </w:r>
      <w:proofErr w:type="spellStart"/>
      <w:r w:rsidR="002A3CAC" w:rsidRPr="002A3CAC">
        <w:rPr>
          <w:sz w:val="22"/>
          <w:szCs w:val="22"/>
        </w:rPr>
        <w:t>NTUA</w:t>
      </w:r>
      <w:proofErr w:type="spellEnd"/>
      <w:r w:rsidR="002A3CAC" w:rsidRPr="002A3CAC">
        <w:rPr>
          <w:sz w:val="22"/>
          <w:szCs w:val="22"/>
        </w:rPr>
        <w:t xml:space="preserve">) was established in 1959 to address the absence of utilities on the 27,000-square-mile Navajo Nation, which extends into Arizona, New Mexico and Utah. </w:t>
      </w:r>
      <w:r w:rsidR="002A3CAC" w:rsidRPr="002A3CAC">
        <w:rPr>
          <w:bCs/>
          <w:sz w:val="22"/>
          <w:szCs w:val="22"/>
        </w:rPr>
        <w:t xml:space="preserve">After 60 years, the </w:t>
      </w:r>
      <w:proofErr w:type="spellStart"/>
      <w:r w:rsidR="002A3CAC" w:rsidRPr="002A3CAC">
        <w:rPr>
          <w:bCs/>
          <w:sz w:val="22"/>
          <w:szCs w:val="22"/>
        </w:rPr>
        <w:t>NTUA</w:t>
      </w:r>
      <w:proofErr w:type="spellEnd"/>
      <w:r w:rsidR="002A3CAC" w:rsidRPr="002A3CAC">
        <w:rPr>
          <w:bCs/>
          <w:sz w:val="22"/>
          <w:szCs w:val="22"/>
        </w:rPr>
        <w:t xml:space="preserve"> has grown into the largest multi-utility enterprise owned and operated by an American Indian tribe.</w:t>
      </w:r>
    </w:p>
    <w:p w14:paraId="5CD029E3" w14:textId="77777777" w:rsidR="002A3CAC" w:rsidRPr="002A3CAC" w:rsidRDefault="002A3CAC" w:rsidP="002A3CAC">
      <w:pPr>
        <w:contextualSpacing/>
        <w:rPr>
          <w:sz w:val="22"/>
          <w:szCs w:val="22"/>
        </w:rPr>
      </w:pPr>
    </w:p>
    <w:p w14:paraId="38E3DF07" w14:textId="77777777" w:rsidR="002A3CAC" w:rsidRPr="002A3CAC" w:rsidRDefault="002A3CAC" w:rsidP="002A3CAC">
      <w:pPr>
        <w:pStyle w:val="NormalWeb"/>
        <w:spacing w:before="2" w:after="2"/>
        <w:contextualSpacing/>
        <w:rPr>
          <w:rFonts w:ascii="Times New Roman" w:hAnsi="Times New Roman"/>
          <w:sz w:val="22"/>
          <w:szCs w:val="22"/>
        </w:rPr>
      </w:pPr>
      <w:r w:rsidRPr="002A3CAC">
        <w:rPr>
          <w:rFonts w:ascii="Times New Roman" w:hAnsi="Times New Roman"/>
          <w:sz w:val="22"/>
          <w:szCs w:val="22"/>
        </w:rPr>
        <w:t xml:space="preserve">The </w:t>
      </w:r>
      <w:proofErr w:type="spellStart"/>
      <w:r w:rsidRPr="002A3CAC">
        <w:rPr>
          <w:rFonts w:ascii="Times New Roman" w:hAnsi="Times New Roman"/>
          <w:sz w:val="22"/>
          <w:szCs w:val="22"/>
        </w:rPr>
        <w:t>NTUA’s</w:t>
      </w:r>
      <w:proofErr w:type="spellEnd"/>
      <w:r w:rsidRPr="002A3CAC">
        <w:rPr>
          <w:rFonts w:ascii="Times New Roman" w:hAnsi="Times New Roman"/>
          <w:sz w:val="22"/>
          <w:szCs w:val="22"/>
        </w:rPr>
        <w:t xml:space="preserve"> new headquarters brings together administrative departments within its </w:t>
      </w:r>
      <w:r w:rsidRPr="002A3CAC">
        <w:rPr>
          <w:rFonts w:ascii="Times New Roman" w:hAnsi="Times New Roman"/>
          <w:color w:val="000000" w:themeColor="text1"/>
          <w:sz w:val="22"/>
          <w:szCs w:val="22"/>
        </w:rPr>
        <w:t xml:space="preserve">80,000-square-foot offices located in </w:t>
      </w:r>
      <w:r w:rsidRPr="002A3CAC">
        <w:rPr>
          <w:rFonts w:ascii="Times New Roman" w:hAnsi="Times New Roman"/>
          <w:sz w:val="22"/>
          <w:szCs w:val="22"/>
        </w:rPr>
        <w:t xml:space="preserve">Fort Defiance, Arizona. </w:t>
      </w:r>
      <w:proofErr w:type="spellStart"/>
      <w:r w:rsidRPr="002A3CAC">
        <w:rPr>
          <w:rFonts w:ascii="Times New Roman" w:hAnsi="Times New Roman"/>
          <w:sz w:val="22"/>
          <w:szCs w:val="22"/>
        </w:rPr>
        <w:t>Dyron</w:t>
      </w:r>
      <w:proofErr w:type="spellEnd"/>
      <w:r w:rsidRPr="002A3CAC">
        <w:rPr>
          <w:rFonts w:ascii="Times New Roman" w:hAnsi="Times New Roman"/>
          <w:sz w:val="22"/>
          <w:szCs w:val="22"/>
        </w:rPr>
        <w:t xml:space="preserve"> Murphy Architects, a Native-American owned business, said its design was inspired by Navajo cultural elements. Traditional building materials are complemented by modern, high-performance, aluminum-framed curtainwall, storefront and entrance systems manufactured by Tubelite Inc. and installed by Southwest Glass &amp; Glazing.</w:t>
      </w:r>
    </w:p>
    <w:p w14:paraId="18EFE929" w14:textId="77777777" w:rsidR="002A3CAC" w:rsidRPr="002A3CAC" w:rsidRDefault="002A3CAC" w:rsidP="002A3CAC">
      <w:pPr>
        <w:pStyle w:val="NormalWeb"/>
        <w:spacing w:before="2" w:after="2"/>
        <w:contextualSpacing/>
        <w:rPr>
          <w:rFonts w:ascii="Times New Roman" w:hAnsi="Times New Roman"/>
          <w:sz w:val="22"/>
          <w:szCs w:val="22"/>
        </w:rPr>
      </w:pPr>
    </w:p>
    <w:p w14:paraId="46D086A9" w14:textId="77777777" w:rsidR="002A3CAC" w:rsidRPr="002A3CAC" w:rsidRDefault="002A3CAC" w:rsidP="002A3CAC">
      <w:pPr>
        <w:rPr>
          <w:sz w:val="22"/>
          <w:szCs w:val="22"/>
        </w:rPr>
      </w:pPr>
      <w:r w:rsidRPr="002A3CAC">
        <w:rPr>
          <w:sz w:val="22"/>
          <w:szCs w:val="22"/>
        </w:rPr>
        <w:t xml:space="preserve">The project broke ground in 2017 with a ceremonial blessing of the site, emphasizing the importance of the project’s connection to the local community and Navajo culture. Construction was led by </w:t>
      </w:r>
      <w:proofErr w:type="spellStart"/>
      <w:r w:rsidRPr="002A3CAC">
        <w:rPr>
          <w:sz w:val="22"/>
          <w:szCs w:val="22"/>
        </w:rPr>
        <w:t>Flintco</w:t>
      </w:r>
      <w:proofErr w:type="spellEnd"/>
      <w:r w:rsidRPr="002A3CAC">
        <w:rPr>
          <w:sz w:val="22"/>
          <w:szCs w:val="22"/>
        </w:rPr>
        <w:t xml:space="preserve"> and was substantially completed in August 2018. Aligned with energy-efficient practices, sustainable features are incorporated throughout the building.</w:t>
      </w:r>
    </w:p>
    <w:p w14:paraId="48CAE726" w14:textId="77777777" w:rsidR="002A3CAC" w:rsidRPr="002A3CAC" w:rsidRDefault="002A3CAC" w:rsidP="002A3CAC">
      <w:pPr>
        <w:pStyle w:val="NormalWeb"/>
        <w:spacing w:before="2" w:after="2"/>
        <w:contextualSpacing/>
        <w:rPr>
          <w:rFonts w:ascii="Times New Roman" w:hAnsi="Times New Roman"/>
          <w:sz w:val="22"/>
          <w:szCs w:val="22"/>
        </w:rPr>
      </w:pPr>
    </w:p>
    <w:p w14:paraId="2B1269E8" w14:textId="77777777" w:rsidR="002A3CAC" w:rsidRPr="002A3CAC" w:rsidRDefault="002A3CAC" w:rsidP="002A3CAC">
      <w:pPr>
        <w:rPr>
          <w:sz w:val="22"/>
          <w:szCs w:val="22"/>
        </w:rPr>
      </w:pPr>
      <w:r w:rsidRPr="002A3CAC">
        <w:rPr>
          <w:color w:val="000000" w:themeColor="text1"/>
          <w:sz w:val="22"/>
          <w:szCs w:val="22"/>
        </w:rPr>
        <w:t>“</w:t>
      </w:r>
      <w:r w:rsidRPr="002A3CAC">
        <w:rPr>
          <w:sz w:val="22"/>
          <w:szCs w:val="22"/>
        </w:rPr>
        <w:t xml:space="preserve">The physical environments of indigenous communities tend to be harsher than an established metropolis or city might be,” observed </w:t>
      </w:r>
      <w:proofErr w:type="spellStart"/>
      <w:r w:rsidRPr="002A3CAC">
        <w:rPr>
          <w:sz w:val="22"/>
          <w:szCs w:val="22"/>
        </w:rPr>
        <w:t>Dyron</w:t>
      </w:r>
      <w:proofErr w:type="spellEnd"/>
      <w:r w:rsidRPr="002A3CAC">
        <w:rPr>
          <w:sz w:val="22"/>
          <w:szCs w:val="22"/>
        </w:rPr>
        <w:t xml:space="preserve"> Murphy. “When rural communities are involved, the environment takes over as a very important factor. If a building is not designed with environmental factors in mind, it might not perform well in the future against winds, rain, heat, cold, etc. A great deal of thought has to go into how the facility or the construction of the buildings is going to stand up over time in local climatic conditions.”</w:t>
      </w:r>
    </w:p>
    <w:p w14:paraId="7C75BF98" w14:textId="77777777" w:rsidR="002A3CAC" w:rsidRPr="002A3CAC" w:rsidRDefault="002A3CAC" w:rsidP="002A3CAC">
      <w:pPr>
        <w:rPr>
          <w:color w:val="000000" w:themeColor="text1"/>
          <w:sz w:val="22"/>
          <w:szCs w:val="22"/>
        </w:rPr>
      </w:pPr>
    </w:p>
    <w:p w14:paraId="4C443403" w14:textId="77777777" w:rsidR="002A3CAC" w:rsidRPr="002A3CAC" w:rsidRDefault="002A3CAC" w:rsidP="002A3CAC">
      <w:pPr>
        <w:rPr>
          <w:sz w:val="22"/>
          <w:szCs w:val="22"/>
        </w:rPr>
      </w:pPr>
      <w:r w:rsidRPr="002A3CAC">
        <w:rPr>
          <w:color w:val="000000" w:themeColor="text1"/>
          <w:sz w:val="22"/>
          <w:szCs w:val="22"/>
        </w:rPr>
        <w:t xml:space="preserve">Meeting the </w:t>
      </w:r>
      <w:proofErr w:type="spellStart"/>
      <w:r w:rsidRPr="002A3CAC">
        <w:rPr>
          <w:color w:val="000000" w:themeColor="text1"/>
          <w:sz w:val="22"/>
          <w:szCs w:val="22"/>
        </w:rPr>
        <w:t>NTUA’s</w:t>
      </w:r>
      <w:proofErr w:type="spellEnd"/>
      <w:r w:rsidRPr="002A3CAC">
        <w:rPr>
          <w:color w:val="000000" w:themeColor="text1"/>
          <w:sz w:val="22"/>
          <w:szCs w:val="22"/>
        </w:rPr>
        <w:t xml:space="preserve"> unique project performance requirements, Tubelite provided its T24650 Series Thermal Storefront and its 400SS Screw Spline Thermal Curtainwall. These </w:t>
      </w:r>
      <w:r w:rsidRPr="002A3CAC">
        <w:rPr>
          <w:sz w:val="22"/>
          <w:szCs w:val="22"/>
        </w:rPr>
        <w:t>high-performance, thermal systems are engineered to support today’s stringent energy codes. Even in extreme climates, these products provide superior energy and condensation resistance, while delivering structural integrity and aesthetic flexibility.</w:t>
      </w:r>
    </w:p>
    <w:p w14:paraId="6F8C326D" w14:textId="77777777" w:rsidR="002A3CAC" w:rsidRPr="002A3CAC" w:rsidRDefault="002A3CAC" w:rsidP="002A3CAC">
      <w:pPr>
        <w:rPr>
          <w:sz w:val="22"/>
          <w:szCs w:val="22"/>
        </w:rPr>
      </w:pPr>
    </w:p>
    <w:p w14:paraId="7077698B" w14:textId="77777777" w:rsidR="002A3CAC" w:rsidRPr="002A3CAC" w:rsidRDefault="002A3CAC" w:rsidP="002A3CAC">
      <w:pPr>
        <w:rPr>
          <w:sz w:val="22"/>
          <w:szCs w:val="22"/>
        </w:rPr>
      </w:pPr>
      <w:r w:rsidRPr="002A3CAC">
        <w:rPr>
          <w:sz w:val="22"/>
          <w:szCs w:val="22"/>
        </w:rPr>
        <w:t>Optimizing thermal performance helps lower the load on HVAC systems and reduce associated energy costs, while keeping occupants productive at a comfortable interior temperature. Reducing condensation can improve a building’s appearance, sanitation and indoor air quality, which contributes to minimal maintenance and better occupant health.</w:t>
      </w:r>
    </w:p>
    <w:p w14:paraId="3018F3B5" w14:textId="77777777" w:rsidR="002A3CAC" w:rsidRPr="002A3CAC" w:rsidRDefault="002A3CAC" w:rsidP="002A3CAC">
      <w:pPr>
        <w:pStyle w:val="xmsoplaintext"/>
        <w:spacing w:before="0" w:beforeAutospacing="0" w:after="0" w:afterAutospacing="0"/>
        <w:contextualSpacing/>
        <w:rPr>
          <w:color w:val="000000" w:themeColor="text1"/>
          <w:sz w:val="22"/>
          <w:szCs w:val="22"/>
        </w:rPr>
      </w:pPr>
    </w:p>
    <w:p w14:paraId="484A241F" w14:textId="77777777" w:rsidR="002A3CAC" w:rsidRPr="002A3CAC" w:rsidRDefault="002A3CAC" w:rsidP="002A3CAC">
      <w:pPr>
        <w:pStyle w:val="xmsoplaintext"/>
        <w:spacing w:before="0" w:beforeAutospacing="0" w:after="0" w:afterAutospacing="0"/>
        <w:contextualSpacing/>
        <w:rPr>
          <w:color w:val="000000" w:themeColor="text1"/>
          <w:sz w:val="22"/>
          <w:szCs w:val="22"/>
        </w:rPr>
      </w:pPr>
      <w:r w:rsidRPr="002A3CAC">
        <w:rPr>
          <w:color w:val="000000" w:themeColor="text1"/>
          <w:sz w:val="22"/>
          <w:szCs w:val="22"/>
        </w:rPr>
        <w:t>The curtainwall and storefront systems’ lattice pattern of aluminum framework enhances the building’s attractive appearance. Presenting a clean, modern exterior façade, Linetec finished the aluminum framing members in Class I Clear anodized to highlight the natural metallic appearance.</w:t>
      </w:r>
    </w:p>
    <w:p w14:paraId="5F588A08" w14:textId="77777777" w:rsidR="002A3CAC" w:rsidRPr="002A3CAC" w:rsidRDefault="002A3CAC" w:rsidP="002A3CAC">
      <w:pPr>
        <w:pStyle w:val="NormalWeb"/>
        <w:spacing w:before="2" w:after="2"/>
        <w:contextualSpacing/>
        <w:rPr>
          <w:rFonts w:ascii="Times New Roman" w:hAnsi="Times New Roman"/>
          <w:sz w:val="22"/>
          <w:szCs w:val="22"/>
        </w:rPr>
      </w:pPr>
    </w:p>
    <w:p w14:paraId="6FA82372" w14:textId="77777777" w:rsidR="002A3CAC" w:rsidRPr="002A3CAC" w:rsidRDefault="002A3CAC" w:rsidP="002A3CAC">
      <w:pPr>
        <w:jc w:val="right"/>
        <w:rPr>
          <w:rStyle w:val="text-size-b"/>
          <w:i/>
          <w:sz w:val="20"/>
        </w:rPr>
      </w:pPr>
      <w:r w:rsidRPr="002A3CAC">
        <w:rPr>
          <w:rStyle w:val="text-size-b"/>
          <w:i/>
          <w:sz w:val="20"/>
        </w:rPr>
        <w:t>(more)</w:t>
      </w:r>
    </w:p>
    <w:p w14:paraId="7BF02F01" w14:textId="271F1CFF" w:rsidR="002A3CAC" w:rsidRDefault="002A3CAC">
      <w:pPr>
        <w:rPr>
          <w:rStyle w:val="text-size-b"/>
          <w:sz w:val="22"/>
          <w:szCs w:val="22"/>
        </w:rPr>
      </w:pPr>
      <w:r>
        <w:rPr>
          <w:rStyle w:val="text-size-b"/>
          <w:sz w:val="22"/>
          <w:szCs w:val="22"/>
        </w:rPr>
        <w:br w:type="page"/>
      </w:r>
    </w:p>
    <w:p w14:paraId="62B44DC4" w14:textId="41B94746" w:rsidR="002A3CAC" w:rsidRPr="002A3CAC" w:rsidRDefault="002A3CAC" w:rsidP="002A3CAC">
      <w:pPr>
        <w:contextualSpacing/>
        <w:rPr>
          <w:rStyle w:val="text-size-b"/>
          <w:sz w:val="22"/>
          <w:szCs w:val="22"/>
        </w:rPr>
      </w:pPr>
      <w:r w:rsidRPr="002A3CAC">
        <w:rPr>
          <w:rStyle w:val="text-size-b"/>
          <w:sz w:val="22"/>
          <w:szCs w:val="22"/>
        </w:rPr>
        <w:lastRenderedPageBreak/>
        <w:t>Helping meet stricter energy codes</w:t>
      </w:r>
      <w:r w:rsidRPr="002A3CAC">
        <w:rPr>
          <w:sz w:val="22"/>
          <w:szCs w:val="22"/>
        </w:rPr>
        <w:t>, the h</w:t>
      </w:r>
      <w:r w:rsidRPr="002A3CAC">
        <w:rPr>
          <w:color w:val="000000" w:themeColor="text1"/>
          <w:sz w:val="22"/>
          <w:szCs w:val="22"/>
        </w:rPr>
        <w:t>igh-performance, gray-tinted glass also r</w:t>
      </w:r>
      <w:r w:rsidRPr="002A3CAC">
        <w:rPr>
          <w:rStyle w:val="text-size-b"/>
          <w:sz w:val="22"/>
          <w:szCs w:val="22"/>
        </w:rPr>
        <w:t>educes reflectivity and glare, and lowers the solar heat gain coefficient by 20% compared with coated clear glass. The decorative spandrel glass features a custom Burning Tomato color coating.</w:t>
      </w:r>
    </w:p>
    <w:p w14:paraId="3A183185" w14:textId="77777777" w:rsidR="002A3CAC" w:rsidRPr="002A3CAC" w:rsidRDefault="002A3CAC" w:rsidP="002A3CAC">
      <w:pPr>
        <w:contextualSpacing/>
        <w:rPr>
          <w:rStyle w:val="text-size-b"/>
          <w:sz w:val="22"/>
          <w:szCs w:val="22"/>
        </w:rPr>
      </w:pPr>
    </w:p>
    <w:p w14:paraId="4D308293" w14:textId="77777777" w:rsidR="002A3CAC" w:rsidRPr="002A3CAC" w:rsidRDefault="002A3CAC" w:rsidP="002A3CAC">
      <w:pPr>
        <w:contextualSpacing/>
        <w:rPr>
          <w:sz w:val="22"/>
          <w:szCs w:val="22"/>
        </w:rPr>
      </w:pPr>
      <w:r w:rsidRPr="002A3CAC">
        <w:rPr>
          <w:rStyle w:val="text-size-b"/>
          <w:sz w:val="22"/>
          <w:szCs w:val="22"/>
        </w:rPr>
        <w:t xml:space="preserve">Bold red and blue accents on the building also are reminiscent of the </w:t>
      </w:r>
      <w:proofErr w:type="spellStart"/>
      <w:r w:rsidRPr="002A3CAC">
        <w:rPr>
          <w:rStyle w:val="text-size-b"/>
          <w:sz w:val="22"/>
          <w:szCs w:val="22"/>
        </w:rPr>
        <w:t>NTUA’s</w:t>
      </w:r>
      <w:proofErr w:type="spellEnd"/>
      <w:r w:rsidRPr="002A3CAC">
        <w:rPr>
          <w:rStyle w:val="text-size-b"/>
          <w:sz w:val="22"/>
          <w:szCs w:val="22"/>
        </w:rPr>
        <w:t xml:space="preserve"> brand identity. </w:t>
      </w:r>
      <w:proofErr w:type="spellStart"/>
      <w:r w:rsidRPr="002A3CAC">
        <w:rPr>
          <w:sz w:val="22"/>
          <w:szCs w:val="22"/>
        </w:rPr>
        <w:t>Dyron</w:t>
      </w:r>
      <w:proofErr w:type="spellEnd"/>
      <w:r w:rsidRPr="002A3CAC">
        <w:rPr>
          <w:sz w:val="22"/>
          <w:szCs w:val="22"/>
        </w:rPr>
        <w:t xml:space="preserve"> Murphy Architects added, “A color palette of earth tones, drawn from the surrounding geography, seamlessly integrates the building into the natural environment.”</w:t>
      </w:r>
    </w:p>
    <w:p w14:paraId="590E1146" w14:textId="77777777" w:rsidR="002A3CAC" w:rsidRPr="002A3CAC" w:rsidRDefault="002A3CAC" w:rsidP="002A3CAC">
      <w:pPr>
        <w:pStyle w:val="NormalWeb"/>
        <w:spacing w:before="2" w:after="2"/>
        <w:contextualSpacing/>
        <w:rPr>
          <w:rFonts w:ascii="Times New Roman" w:hAnsi="Times New Roman"/>
          <w:sz w:val="22"/>
          <w:szCs w:val="22"/>
        </w:rPr>
      </w:pPr>
    </w:p>
    <w:p w14:paraId="0BB99C66" w14:textId="77777777" w:rsidR="002A3CAC" w:rsidRPr="002A3CAC" w:rsidRDefault="002A3CAC" w:rsidP="002A3CAC">
      <w:pPr>
        <w:pStyle w:val="NormalWeb"/>
        <w:spacing w:before="2" w:after="2"/>
        <w:contextualSpacing/>
        <w:rPr>
          <w:rFonts w:ascii="Times New Roman" w:hAnsi="Times New Roman"/>
          <w:sz w:val="22"/>
          <w:szCs w:val="22"/>
        </w:rPr>
      </w:pPr>
      <w:r w:rsidRPr="002A3CAC">
        <w:rPr>
          <w:rFonts w:ascii="Times New Roman" w:hAnsi="Times New Roman"/>
          <w:sz w:val="22"/>
          <w:szCs w:val="22"/>
        </w:rPr>
        <w:t xml:space="preserve">In addition to the building’s colorful, contemporary glass and metal exterior, </w:t>
      </w:r>
      <w:proofErr w:type="spellStart"/>
      <w:r w:rsidRPr="002A3CAC">
        <w:rPr>
          <w:rFonts w:ascii="Times New Roman" w:hAnsi="Times New Roman"/>
          <w:sz w:val="22"/>
          <w:szCs w:val="22"/>
        </w:rPr>
        <w:t>Dyron</w:t>
      </w:r>
      <w:proofErr w:type="spellEnd"/>
      <w:r w:rsidRPr="002A3CAC">
        <w:rPr>
          <w:rFonts w:ascii="Times New Roman" w:hAnsi="Times New Roman"/>
          <w:sz w:val="22"/>
          <w:szCs w:val="22"/>
        </w:rPr>
        <w:t xml:space="preserve"> Murphy Architects noted that the wood, stone and clay plaster materials used throughout the building emulate a Navajo Hogan. These traditional dwellings currently represent approximately 25% of the homes of the Navajo Nation. “Traditional forms and colors throughout the interior become important design elements that weave together the various departments within the building.”</w:t>
      </w:r>
    </w:p>
    <w:p w14:paraId="6AB1B318" w14:textId="77777777" w:rsidR="002A3CAC" w:rsidRPr="002A3CAC" w:rsidRDefault="002A3CAC" w:rsidP="002A3CAC">
      <w:pPr>
        <w:pStyle w:val="NormalWeb"/>
        <w:spacing w:before="2" w:after="2"/>
        <w:contextualSpacing/>
        <w:rPr>
          <w:rFonts w:ascii="Times New Roman" w:hAnsi="Times New Roman"/>
          <w:sz w:val="22"/>
          <w:szCs w:val="22"/>
        </w:rPr>
      </w:pPr>
    </w:p>
    <w:p w14:paraId="3E3088D8" w14:textId="77777777" w:rsidR="002A3CAC" w:rsidRPr="002A3CAC" w:rsidRDefault="002A3CAC" w:rsidP="002A3CAC">
      <w:pPr>
        <w:pStyle w:val="NormalWeb"/>
        <w:spacing w:before="2" w:after="2"/>
        <w:ind w:right="443"/>
        <w:contextualSpacing/>
        <w:rPr>
          <w:rFonts w:ascii="Times New Roman" w:hAnsi="Times New Roman"/>
          <w:sz w:val="22"/>
          <w:szCs w:val="22"/>
        </w:rPr>
      </w:pPr>
      <w:r w:rsidRPr="002A3CAC">
        <w:rPr>
          <w:rFonts w:ascii="Times New Roman" w:hAnsi="Times New Roman"/>
          <w:sz w:val="22"/>
          <w:szCs w:val="22"/>
        </w:rPr>
        <w:t xml:space="preserve">A new customer service call center within the complex also enhances the services provided by the </w:t>
      </w:r>
      <w:proofErr w:type="spellStart"/>
      <w:r w:rsidRPr="002A3CAC">
        <w:rPr>
          <w:rFonts w:ascii="Times New Roman" w:hAnsi="Times New Roman"/>
          <w:sz w:val="22"/>
          <w:szCs w:val="22"/>
        </w:rPr>
        <w:t>NTUA</w:t>
      </w:r>
      <w:proofErr w:type="spellEnd"/>
      <w:r w:rsidRPr="002A3CAC">
        <w:rPr>
          <w:rFonts w:ascii="Times New Roman" w:hAnsi="Times New Roman"/>
          <w:sz w:val="22"/>
          <w:szCs w:val="22"/>
        </w:rPr>
        <w:t>. A new cafeteria, kitchen and conference center serves employees, as well as being available for the community’s use. A training field and fleet vehicle parking has been included within the site development.</w:t>
      </w:r>
    </w:p>
    <w:p w14:paraId="66FE9A3D" w14:textId="77777777" w:rsidR="002A3CAC" w:rsidRPr="002A3CAC" w:rsidRDefault="002A3CAC" w:rsidP="002A3CAC">
      <w:pPr>
        <w:pStyle w:val="NormalWeb"/>
        <w:spacing w:before="2" w:after="2"/>
        <w:contextualSpacing/>
        <w:rPr>
          <w:rFonts w:ascii="Times New Roman" w:hAnsi="Times New Roman"/>
          <w:sz w:val="22"/>
          <w:szCs w:val="22"/>
        </w:rPr>
      </w:pPr>
    </w:p>
    <w:p w14:paraId="506FF2D9" w14:textId="77777777" w:rsidR="002A3CAC" w:rsidRPr="002A3CAC" w:rsidRDefault="002A3CAC" w:rsidP="002A3CAC">
      <w:pPr>
        <w:pStyle w:val="NormalWeb"/>
        <w:spacing w:before="2" w:after="2"/>
        <w:contextualSpacing/>
        <w:rPr>
          <w:rFonts w:ascii="Times New Roman" w:hAnsi="Times New Roman"/>
          <w:sz w:val="22"/>
          <w:szCs w:val="22"/>
        </w:rPr>
      </w:pPr>
      <w:r w:rsidRPr="002A3CAC">
        <w:rPr>
          <w:rFonts w:ascii="Times New Roman" w:hAnsi="Times New Roman"/>
          <w:sz w:val="22"/>
          <w:szCs w:val="22"/>
        </w:rPr>
        <w:t xml:space="preserve">“The space planning and interior layout fosters human interaction and collaboration between departments that would otherwise function independently,” elaborated </w:t>
      </w:r>
      <w:proofErr w:type="spellStart"/>
      <w:r w:rsidRPr="002A3CAC">
        <w:rPr>
          <w:rFonts w:ascii="Times New Roman" w:hAnsi="Times New Roman"/>
          <w:sz w:val="22"/>
          <w:szCs w:val="22"/>
        </w:rPr>
        <w:t>Dyron</w:t>
      </w:r>
      <w:proofErr w:type="spellEnd"/>
      <w:r w:rsidRPr="002A3CAC">
        <w:rPr>
          <w:rFonts w:ascii="Times New Roman" w:hAnsi="Times New Roman"/>
          <w:sz w:val="22"/>
          <w:szCs w:val="22"/>
        </w:rPr>
        <w:t xml:space="preserve"> Murphy Architects. “Open spaces and meeting rooms are strategically placed at centralized locations to equalize access. Dedicated areas within each department provide space for focused work.”</w:t>
      </w:r>
    </w:p>
    <w:p w14:paraId="71C43CC1" w14:textId="77777777" w:rsidR="002A3CAC" w:rsidRPr="002A3CAC" w:rsidRDefault="002A3CAC" w:rsidP="002A3CAC">
      <w:pPr>
        <w:contextualSpacing/>
        <w:rPr>
          <w:sz w:val="22"/>
          <w:szCs w:val="22"/>
        </w:rPr>
      </w:pPr>
    </w:p>
    <w:p w14:paraId="105BB4B9" w14:textId="77777777" w:rsidR="002A3CAC" w:rsidRPr="002A3CAC" w:rsidRDefault="002A3CAC" w:rsidP="002A3CAC">
      <w:pPr>
        <w:contextualSpacing/>
        <w:rPr>
          <w:sz w:val="22"/>
          <w:szCs w:val="22"/>
        </w:rPr>
      </w:pPr>
      <w:r w:rsidRPr="002A3CAC">
        <w:rPr>
          <w:sz w:val="22"/>
          <w:szCs w:val="22"/>
        </w:rPr>
        <w:t>A self-sustaining, not-for-profit, it is organized for the operation, maintenance and expansion of electric, communications, natural gas, water, wastewater and generation, including photovoltaic (solar) services for the Navajo people at a low and reasonable cost.</w:t>
      </w:r>
    </w:p>
    <w:p w14:paraId="2930D362" w14:textId="77777777" w:rsidR="002A3CAC" w:rsidRPr="002A3CAC" w:rsidRDefault="002A3CAC" w:rsidP="002A3CAC">
      <w:pPr>
        <w:contextualSpacing/>
        <w:rPr>
          <w:bCs/>
          <w:sz w:val="22"/>
          <w:szCs w:val="22"/>
        </w:rPr>
      </w:pPr>
    </w:p>
    <w:p w14:paraId="512A1697" w14:textId="77777777" w:rsidR="002A3CAC" w:rsidRPr="002A3CAC" w:rsidRDefault="002A3CAC" w:rsidP="002A3CAC">
      <w:pPr>
        <w:contextualSpacing/>
        <w:rPr>
          <w:sz w:val="22"/>
          <w:szCs w:val="22"/>
        </w:rPr>
      </w:pPr>
      <w:r w:rsidRPr="002A3CAC">
        <w:rPr>
          <w:sz w:val="22"/>
          <w:szCs w:val="22"/>
        </w:rPr>
        <w:t xml:space="preserve">In addition to providing multi-utility services, other objectives of the </w:t>
      </w:r>
      <w:proofErr w:type="spellStart"/>
      <w:r w:rsidRPr="002A3CAC">
        <w:rPr>
          <w:sz w:val="22"/>
          <w:szCs w:val="22"/>
        </w:rPr>
        <w:t>NTUA</w:t>
      </w:r>
      <w:proofErr w:type="spellEnd"/>
      <w:r w:rsidRPr="002A3CAC">
        <w:rPr>
          <w:sz w:val="22"/>
          <w:szCs w:val="22"/>
        </w:rPr>
        <w:t xml:space="preserve"> are to promote employment opportunities on the Navajo Nation, and to improve the health and welfare of the 186,500 residents of the Navajo Nation, while raising the standard of life.</w:t>
      </w:r>
    </w:p>
    <w:p w14:paraId="56B17D57" w14:textId="77777777" w:rsidR="002A3CAC" w:rsidRPr="002A3CAC" w:rsidRDefault="002A3CAC" w:rsidP="002A3CAC">
      <w:pPr>
        <w:pStyle w:val="xmsoplaintext"/>
        <w:spacing w:before="0" w:beforeAutospacing="0" w:after="0" w:afterAutospacing="0"/>
        <w:contextualSpacing/>
        <w:rPr>
          <w:color w:val="000000" w:themeColor="text1"/>
          <w:sz w:val="20"/>
          <w:szCs w:val="20"/>
        </w:rPr>
      </w:pPr>
    </w:p>
    <w:p w14:paraId="72224E51" w14:textId="77777777" w:rsidR="002A3CAC" w:rsidRPr="002A3CAC" w:rsidRDefault="002A3CAC" w:rsidP="002A3CAC">
      <w:pPr>
        <w:pStyle w:val="xmsoplaintext"/>
        <w:spacing w:before="0" w:beforeAutospacing="0" w:after="0" w:afterAutospacing="0"/>
        <w:contextualSpacing/>
        <w:jc w:val="center"/>
        <w:rPr>
          <w:color w:val="000000" w:themeColor="text1"/>
          <w:sz w:val="20"/>
          <w:szCs w:val="20"/>
        </w:rPr>
      </w:pPr>
      <w:r w:rsidRPr="002A3CAC">
        <w:rPr>
          <w:color w:val="000000" w:themeColor="text1"/>
          <w:sz w:val="20"/>
          <w:szCs w:val="20"/>
        </w:rPr>
        <w:t>**</w:t>
      </w:r>
    </w:p>
    <w:p w14:paraId="29235FDB" w14:textId="77777777" w:rsidR="002A3CAC" w:rsidRPr="002A3CAC" w:rsidRDefault="002A3CAC" w:rsidP="002A3CAC">
      <w:pPr>
        <w:pStyle w:val="xmsoplaintext"/>
        <w:spacing w:before="0" w:beforeAutospacing="0" w:after="0" w:afterAutospacing="0"/>
        <w:contextualSpacing/>
        <w:rPr>
          <w:color w:val="000000" w:themeColor="text1"/>
          <w:sz w:val="20"/>
          <w:szCs w:val="20"/>
        </w:rPr>
      </w:pPr>
    </w:p>
    <w:p w14:paraId="4D2113B9" w14:textId="77777777" w:rsidR="002A3CAC" w:rsidRPr="002A3CAC" w:rsidRDefault="002A3CAC" w:rsidP="002A3CAC">
      <w:pPr>
        <w:pStyle w:val="xmsoplaintext"/>
        <w:spacing w:before="0" w:beforeAutospacing="0" w:after="0" w:afterAutospacing="0"/>
        <w:contextualSpacing/>
        <w:rPr>
          <w:rStyle w:val="apple-converted-space"/>
          <w:b/>
          <w:color w:val="000000" w:themeColor="text1"/>
          <w:sz w:val="20"/>
          <w:szCs w:val="20"/>
        </w:rPr>
      </w:pPr>
      <w:r w:rsidRPr="002A3CAC">
        <w:rPr>
          <w:b/>
          <w:color w:val="000000" w:themeColor="text1"/>
          <w:sz w:val="20"/>
          <w:szCs w:val="20"/>
        </w:rPr>
        <w:t>Navajo Tribal Utility Authority Headquarters; Indian Route 12, Fort Defiance, AZ 86504</w:t>
      </w:r>
    </w:p>
    <w:p w14:paraId="08FE7EC5"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Owner: Navajo Tribal Utility Authority; Fort Defiance, Arizona; http://www.ntua.com</w:t>
      </w:r>
    </w:p>
    <w:p w14:paraId="265207E3"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 xml:space="preserve">Architect: </w:t>
      </w:r>
      <w:proofErr w:type="spellStart"/>
      <w:r w:rsidRPr="002A3CAC">
        <w:rPr>
          <w:color w:val="000000"/>
          <w:sz w:val="20"/>
          <w:szCs w:val="20"/>
        </w:rPr>
        <w:t>Dyron</w:t>
      </w:r>
      <w:proofErr w:type="spellEnd"/>
      <w:r w:rsidRPr="002A3CAC">
        <w:rPr>
          <w:color w:val="000000"/>
          <w:sz w:val="20"/>
          <w:szCs w:val="20"/>
        </w:rPr>
        <w:t xml:space="preserve"> Murphy Architects, P.C.; Albuquerque, New Mexico;</w:t>
      </w:r>
      <w:r w:rsidRPr="002A3CAC">
        <w:rPr>
          <w:rStyle w:val="apple-converted-space"/>
          <w:color w:val="000000"/>
          <w:sz w:val="20"/>
          <w:szCs w:val="20"/>
        </w:rPr>
        <w:t xml:space="preserve"> http://dyronmurphy.com</w:t>
      </w:r>
    </w:p>
    <w:p w14:paraId="34054B69"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 xml:space="preserve">General contractor: </w:t>
      </w:r>
      <w:proofErr w:type="spellStart"/>
      <w:r w:rsidRPr="002A3CAC">
        <w:rPr>
          <w:color w:val="000000"/>
          <w:sz w:val="20"/>
          <w:szCs w:val="20"/>
        </w:rPr>
        <w:t>Flintco</w:t>
      </w:r>
      <w:proofErr w:type="spellEnd"/>
      <w:r w:rsidRPr="002A3CAC">
        <w:rPr>
          <w:color w:val="000000"/>
          <w:sz w:val="20"/>
          <w:szCs w:val="20"/>
        </w:rPr>
        <w:t xml:space="preserve"> LLC; Albuquerque, New Mexico; https://flintco.com</w:t>
      </w:r>
    </w:p>
    <w:p w14:paraId="4A2ABA9C" w14:textId="77777777" w:rsidR="002A3CAC" w:rsidRPr="002A3CAC" w:rsidRDefault="002A3CAC" w:rsidP="002A3CAC">
      <w:pPr>
        <w:pStyle w:val="xmsoplaintext"/>
        <w:numPr>
          <w:ilvl w:val="0"/>
          <w:numId w:val="8"/>
        </w:numPr>
        <w:spacing w:before="0" w:beforeAutospacing="0" w:after="0" w:afterAutospacing="0"/>
        <w:contextualSpacing/>
        <w:rPr>
          <w:color w:val="000000" w:themeColor="text1"/>
          <w:sz w:val="20"/>
          <w:szCs w:val="20"/>
        </w:rPr>
      </w:pPr>
      <w:r w:rsidRPr="002A3CAC">
        <w:rPr>
          <w:color w:val="000000"/>
          <w:sz w:val="20"/>
          <w:szCs w:val="20"/>
        </w:rPr>
        <w:t>Curtainwall and storefront – glazing contractor: Southwe</w:t>
      </w:r>
      <w:r w:rsidRPr="002A3CAC">
        <w:rPr>
          <w:color w:val="000000" w:themeColor="text1"/>
          <w:sz w:val="20"/>
          <w:szCs w:val="20"/>
        </w:rPr>
        <w:t>st Glass &amp; Glazing; Albuquerque, New Mexico; http://www.southwestglass.com</w:t>
      </w:r>
    </w:p>
    <w:p w14:paraId="6445C6BD"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Curtainwall and storefront – glass: Guardian Glass; Auburn Hills, Michigan; https://www.guardianglass.com</w:t>
      </w:r>
    </w:p>
    <w:p w14:paraId="63E63938"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Curtainwall and storefront – manufacturer: Tubelite Inc.; Walker, Michigan; https://www.tubeliteinc.com</w:t>
      </w:r>
    </w:p>
    <w:p w14:paraId="122DFD27" w14:textId="77777777" w:rsidR="002A3CAC" w:rsidRPr="002A3CAC" w:rsidRDefault="002A3CAC" w:rsidP="002A3CAC">
      <w:pPr>
        <w:pStyle w:val="xmsoplaintext"/>
        <w:numPr>
          <w:ilvl w:val="0"/>
          <w:numId w:val="8"/>
        </w:numPr>
        <w:spacing w:before="0" w:beforeAutospacing="0" w:after="0" w:afterAutospacing="0"/>
        <w:contextualSpacing/>
        <w:rPr>
          <w:color w:val="000000"/>
          <w:sz w:val="20"/>
          <w:szCs w:val="20"/>
        </w:rPr>
      </w:pPr>
      <w:r w:rsidRPr="002A3CAC">
        <w:rPr>
          <w:color w:val="000000"/>
          <w:sz w:val="20"/>
          <w:szCs w:val="20"/>
        </w:rPr>
        <w:t>Curtainwall and storefront – finishing: Linetec; Wausau, Wisconsin; https://linetec.com</w:t>
      </w:r>
    </w:p>
    <w:p w14:paraId="0955728D" w14:textId="77777777" w:rsidR="002A3CAC" w:rsidRPr="002A3CAC" w:rsidRDefault="002A3CAC" w:rsidP="002A3CAC">
      <w:pPr>
        <w:pStyle w:val="xmsoplaintext"/>
        <w:numPr>
          <w:ilvl w:val="0"/>
          <w:numId w:val="8"/>
        </w:numPr>
        <w:spacing w:before="0" w:beforeAutospacing="0" w:after="0" w:afterAutospacing="0"/>
        <w:contextualSpacing/>
        <w:rPr>
          <w:color w:val="000000" w:themeColor="text1"/>
          <w:sz w:val="20"/>
          <w:szCs w:val="20"/>
        </w:rPr>
      </w:pPr>
      <w:r w:rsidRPr="002A3CAC">
        <w:rPr>
          <w:color w:val="000000" w:themeColor="text1"/>
          <w:sz w:val="20"/>
          <w:szCs w:val="20"/>
        </w:rPr>
        <w:t xml:space="preserve">Photos: Patrick </w:t>
      </w:r>
      <w:proofErr w:type="spellStart"/>
      <w:r w:rsidRPr="002A3CAC">
        <w:rPr>
          <w:color w:val="000000" w:themeColor="text1"/>
          <w:sz w:val="20"/>
          <w:szCs w:val="20"/>
        </w:rPr>
        <w:t>Coulie</w:t>
      </w:r>
      <w:proofErr w:type="spellEnd"/>
      <w:r w:rsidRPr="002A3CAC">
        <w:rPr>
          <w:color w:val="000000" w:themeColor="text1"/>
          <w:sz w:val="20"/>
          <w:szCs w:val="20"/>
        </w:rPr>
        <w:t xml:space="preserve"> Architectural Photography</w:t>
      </w:r>
    </w:p>
    <w:p w14:paraId="16A54B1D" w14:textId="0D2315E6" w:rsidR="008945D7" w:rsidRPr="002A3CAC" w:rsidRDefault="008945D7" w:rsidP="002A3CAC">
      <w:pPr>
        <w:ind w:right="533"/>
        <w:rPr>
          <w:sz w:val="20"/>
        </w:rPr>
      </w:pPr>
    </w:p>
    <w:p w14:paraId="56B9F32E" w14:textId="77777777" w:rsidR="002A3CAC" w:rsidRDefault="002A3CAC">
      <w:pPr>
        <w:rPr>
          <w:i/>
          <w:color w:val="000000"/>
          <w:sz w:val="20"/>
        </w:rPr>
      </w:pPr>
      <w:r>
        <w:rPr>
          <w:i/>
          <w:color w:val="000000"/>
          <w:sz w:val="20"/>
        </w:rPr>
        <w:br w:type="page"/>
      </w:r>
    </w:p>
    <w:p w14:paraId="0F69C70F" w14:textId="77777777" w:rsidR="002A3CAC" w:rsidRDefault="002A3CAC" w:rsidP="00E91579">
      <w:pPr>
        <w:ind w:right="533"/>
        <w:contextualSpacing/>
        <w:outlineLvl w:val="0"/>
        <w:rPr>
          <w:i/>
          <w:color w:val="000000"/>
          <w:sz w:val="20"/>
        </w:rPr>
      </w:pPr>
    </w:p>
    <w:p w14:paraId="183F4BCE" w14:textId="36B31643" w:rsidR="001929D0" w:rsidRPr="002A3CAC" w:rsidRDefault="001929D0" w:rsidP="00E91579">
      <w:pPr>
        <w:ind w:right="533"/>
        <w:contextualSpacing/>
        <w:outlineLvl w:val="0"/>
        <w:rPr>
          <w:i/>
          <w:color w:val="000000"/>
          <w:sz w:val="20"/>
        </w:rPr>
      </w:pPr>
      <w:r w:rsidRPr="002A3CAC">
        <w:rPr>
          <w:i/>
          <w:color w:val="000000"/>
          <w:sz w:val="20"/>
        </w:rPr>
        <w:t>About Tubelite Inc.</w:t>
      </w:r>
    </w:p>
    <w:p w14:paraId="4F4BE2EB" w14:textId="75177899" w:rsidR="001929D0" w:rsidRPr="002A3CAC" w:rsidRDefault="001929D0" w:rsidP="00E91579">
      <w:pPr>
        <w:widowControl w:val="0"/>
        <w:autoSpaceDE w:val="0"/>
        <w:autoSpaceDN w:val="0"/>
        <w:adjustRightInd w:val="0"/>
        <w:ind w:right="533"/>
        <w:rPr>
          <w:i/>
          <w:color w:val="000000"/>
          <w:sz w:val="20"/>
        </w:rPr>
      </w:pPr>
      <w:r w:rsidRPr="002A3CAC">
        <w:rPr>
          <w:i/>
          <w:color w:val="000000"/>
          <w:sz w:val="20"/>
        </w:rPr>
        <w:t>For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2A3CAC" w:rsidRDefault="001929D0" w:rsidP="00E91579">
      <w:pPr>
        <w:widowControl w:val="0"/>
        <w:autoSpaceDE w:val="0"/>
        <w:autoSpaceDN w:val="0"/>
        <w:adjustRightInd w:val="0"/>
        <w:ind w:right="533"/>
        <w:rPr>
          <w:i/>
          <w:color w:val="000000"/>
          <w:sz w:val="20"/>
        </w:rPr>
      </w:pPr>
    </w:p>
    <w:p w14:paraId="073728FF" w14:textId="77777777" w:rsidR="001929D0" w:rsidRPr="002A3CAC" w:rsidRDefault="001929D0" w:rsidP="00E91579">
      <w:pPr>
        <w:widowControl w:val="0"/>
        <w:autoSpaceDE w:val="0"/>
        <w:autoSpaceDN w:val="0"/>
        <w:adjustRightInd w:val="0"/>
        <w:ind w:right="533"/>
        <w:rPr>
          <w:i/>
          <w:color w:val="000000"/>
          <w:sz w:val="20"/>
        </w:rPr>
      </w:pPr>
      <w:r w:rsidRPr="002A3CAC">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A3CAC" w:rsidRDefault="001929D0" w:rsidP="00E91579">
      <w:pPr>
        <w:ind w:right="533"/>
        <w:contextualSpacing/>
        <w:rPr>
          <w:i/>
          <w:color w:val="000000"/>
          <w:sz w:val="20"/>
        </w:rPr>
      </w:pPr>
    </w:p>
    <w:p w14:paraId="461714B9" w14:textId="119B673F" w:rsidR="001929D0" w:rsidRPr="002A3CAC" w:rsidRDefault="001929D0" w:rsidP="00E91579">
      <w:pPr>
        <w:pStyle w:val="BodyText0"/>
        <w:spacing w:before="2" w:after="2"/>
        <w:ind w:right="533"/>
        <w:contextualSpacing/>
        <w:rPr>
          <w:i/>
          <w:color w:val="000000"/>
          <w:sz w:val="20"/>
          <w:szCs w:val="20"/>
        </w:rPr>
      </w:pPr>
      <w:r w:rsidRPr="002A3CAC">
        <w:rPr>
          <w:i/>
          <w:color w:val="000000"/>
          <w:sz w:val="20"/>
          <w:szCs w:val="20"/>
        </w:rPr>
        <w:t xml:space="preserve">Tubelite and its staff are members of the American Institute of Architects (AIA), the Construction Specifications Institute (CSI), </w:t>
      </w:r>
      <w:r w:rsidR="00786920" w:rsidRPr="002A3CAC">
        <w:rPr>
          <w:i/>
          <w:color w:val="000000"/>
          <w:sz w:val="20"/>
          <w:szCs w:val="20"/>
          <w:lang w:val="en-US"/>
        </w:rPr>
        <w:t>the Fenestration and Glazing Industry Alliance (</w:t>
      </w:r>
      <w:proofErr w:type="spellStart"/>
      <w:r w:rsidR="00786920" w:rsidRPr="002A3CAC">
        <w:rPr>
          <w:i/>
          <w:color w:val="000000"/>
          <w:sz w:val="20"/>
          <w:szCs w:val="20"/>
          <w:lang w:val="en-US"/>
        </w:rPr>
        <w:t>FGIA</w:t>
      </w:r>
      <w:proofErr w:type="spellEnd"/>
      <w:r w:rsidR="00786920" w:rsidRPr="002A3CAC">
        <w:rPr>
          <w:i/>
          <w:color w:val="000000"/>
          <w:sz w:val="20"/>
          <w:szCs w:val="20"/>
          <w:lang w:val="en-US"/>
        </w:rPr>
        <w:t xml:space="preserve">), </w:t>
      </w:r>
      <w:r w:rsidRPr="002A3CAC">
        <w:rPr>
          <w:i/>
          <w:color w:val="000000"/>
          <w:sz w:val="20"/>
          <w:szCs w:val="20"/>
        </w:rPr>
        <w:t xml:space="preserve">the </w:t>
      </w:r>
      <w:r w:rsidRPr="002A3CAC">
        <w:rPr>
          <w:i/>
          <w:color w:val="000000"/>
          <w:sz w:val="20"/>
          <w:szCs w:val="20"/>
          <w:lang w:val="en-US"/>
        </w:rPr>
        <w:t>National Glass Association</w:t>
      </w:r>
      <w:bookmarkStart w:id="0" w:name="_GoBack"/>
      <w:bookmarkEnd w:id="0"/>
      <w:r w:rsidRPr="002A3CAC">
        <w:rPr>
          <w:i/>
          <w:color w:val="000000"/>
          <w:sz w:val="20"/>
          <w:szCs w:val="20"/>
        </w:rPr>
        <w:t xml:space="preserve"> (</w:t>
      </w:r>
      <w:r w:rsidRPr="002A3CAC">
        <w:rPr>
          <w:i/>
          <w:color w:val="000000"/>
          <w:sz w:val="20"/>
          <w:szCs w:val="20"/>
          <w:lang w:val="en-US"/>
        </w:rPr>
        <w:t>NGA</w:t>
      </w:r>
      <w:r w:rsidRPr="002A3CAC">
        <w:rPr>
          <w:i/>
          <w:color w:val="000000"/>
          <w:sz w:val="20"/>
          <w:szCs w:val="20"/>
        </w:rPr>
        <w:t>), the National Fenestration Rating Council (NFRC), the Society of Military Engineers (SAME) and the U.S. Green Building Council (USGBC).</w:t>
      </w:r>
    </w:p>
    <w:p w14:paraId="0518CC62" w14:textId="77777777" w:rsidR="002A3CAC" w:rsidRPr="002A3CAC" w:rsidRDefault="002A3CAC" w:rsidP="00E91579">
      <w:pPr>
        <w:pStyle w:val="BodyText0"/>
        <w:spacing w:before="2" w:after="2"/>
        <w:ind w:right="533"/>
        <w:contextualSpacing/>
        <w:jc w:val="center"/>
        <w:rPr>
          <w:i/>
          <w:color w:val="000000"/>
          <w:sz w:val="20"/>
          <w:szCs w:val="20"/>
          <w:lang w:val="en-US"/>
        </w:rPr>
      </w:pPr>
    </w:p>
    <w:p w14:paraId="39C30557" w14:textId="77777777" w:rsidR="002A3CAC" w:rsidRPr="002A3CAC" w:rsidRDefault="002A3CAC" w:rsidP="002A3CAC">
      <w:pPr>
        <w:ind w:right="533"/>
        <w:rPr>
          <w:i/>
          <w:color w:val="000000"/>
          <w:sz w:val="20"/>
        </w:rPr>
      </w:pPr>
      <w:r w:rsidRPr="002A3CAC">
        <w:rPr>
          <w:i/>
          <w:color w:val="000000"/>
          <w:sz w:val="20"/>
        </w:rPr>
        <w:t xml:space="preserve">To learn more about Tubelite’s products, please visit </w:t>
      </w:r>
      <w:hyperlink r:id="rId7" w:history="1">
        <w:r w:rsidRPr="002A3CAC">
          <w:rPr>
            <w:rStyle w:val="Hyperlink"/>
            <w:i/>
            <w:sz w:val="20"/>
          </w:rPr>
          <w:t>www.tubeliteinc.com</w:t>
        </w:r>
      </w:hyperlink>
      <w:r w:rsidRPr="002A3CAC">
        <w:rPr>
          <w:i/>
          <w:color w:val="000000"/>
          <w:sz w:val="20"/>
        </w:rPr>
        <w:t>.</w:t>
      </w:r>
    </w:p>
    <w:p w14:paraId="5BC222AE" w14:textId="77777777" w:rsidR="002A3CAC" w:rsidRPr="002A3CAC" w:rsidRDefault="002A3CAC" w:rsidP="002A3CAC">
      <w:pPr>
        <w:ind w:right="533"/>
        <w:rPr>
          <w:i/>
          <w:color w:val="000000"/>
          <w:sz w:val="20"/>
        </w:rPr>
      </w:pPr>
    </w:p>
    <w:p w14:paraId="7E82E714" w14:textId="09B0B952" w:rsidR="001929D0" w:rsidRPr="002A3CAC" w:rsidRDefault="001929D0" w:rsidP="002A3CAC">
      <w:pPr>
        <w:ind w:right="533"/>
        <w:jc w:val="center"/>
        <w:rPr>
          <w:i/>
          <w:color w:val="000000"/>
          <w:sz w:val="20"/>
        </w:rPr>
      </w:pPr>
      <w:r w:rsidRPr="002A3CAC">
        <w:rPr>
          <w:i/>
          <w:color w:val="000000"/>
          <w:sz w:val="20"/>
        </w:rPr>
        <w:t>###</w:t>
      </w:r>
    </w:p>
    <w:p w14:paraId="5516900C" w14:textId="77777777" w:rsidR="001929D0" w:rsidRPr="002A3CAC" w:rsidRDefault="001929D0" w:rsidP="00E91579">
      <w:pPr>
        <w:ind w:right="533"/>
        <w:jc w:val="center"/>
        <w:rPr>
          <w:sz w:val="20"/>
        </w:rPr>
      </w:pPr>
    </w:p>
    <w:sectPr w:rsidR="001929D0" w:rsidRPr="002A3CAC"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37404" w14:textId="77777777" w:rsidR="00A222DB" w:rsidRDefault="00A222DB">
      <w:r>
        <w:separator/>
      </w:r>
    </w:p>
  </w:endnote>
  <w:endnote w:type="continuationSeparator" w:id="0">
    <w:p w14:paraId="756E865E" w14:textId="77777777" w:rsidR="00A222DB" w:rsidRDefault="00A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0B74" w14:textId="77777777" w:rsidR="00A222DB" w:rsidRDefault="00A222DB">
      <w:r>
        <w:separator/>
      </w:r>
    </w:p>
  </w:footnote>
  <w:footnote w:type="continuationSeparator" w:id="0">
    <w:p w14:paraId="182184FF" w14:textId="77777777" w:rsidR="00A222DB" w:rsidRDefault="00A2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37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B34"/>
    <w:rsid w:val="002C1C2D"/>
    <w:rsid w:val="002C31F3"/>
    <w:rsid w:val="002C4229"/>
    <w:rsid w:val="002C7255"/>
    <w:rsid w:val="002C7631"/>
    <w:rsid w:val="002D319A"/>
    <w:rsid w:val="002D7605"/>
    <w:rsid w:val="002E3972"/>
    <w:rsid w:val="002F1FF8"/>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2A0D"/>
    <w:rsid w:val="00A05EB8"/>
    <w:rsid w:val="00A106A9"/>
    <w:rsid w:val="00A1085C"/>
    <w:rsid w:val="00A14F03"/>
    <w:rsid w:val="00A1551B"/>
    <w:rsid w:val="00A222D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3971"/>
    <w:rsid w:val="00C5650B"/>
    <w:rsid w:val="00C60041"/>
    <w:rsid w:val="00C606C9"/>
    <w:rsid w:val="00C60968"/>
    <w:rsid w:val="00C6563D"/>
    <w:rsid w:val="00C661A5"/>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378A"/>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rPr>
      <w:szCs w:val="24"/>
    </w:rPr>
  </w:style>
  <w:style w:type="character" w:customStyle="1" w:styleId="text-size-b">
    <w:name w:val="text-size-b"/>
    <w:basedOn w:val="DefaultParagraphFont"/>
    <w:rsid w:val="002A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5</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7190</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2017-01-18T20:43:00Z</cp:lastPrinted>
  <dcterms:created xsi:type="dcterms:W3CDTF">2020-04-16T13:59:00Z</dcterms:created>
  <dcterms:modified xsi:type="dcterms:W3CDTF">2020-04-27T18:42:00Z</dcterms:modified>
</cp:coreProperties>
</file>