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55E7" w14:textId="77777777" w:rsidR="00B15758" w:rsidRPr="00EA6EED" w:rsidRDefault="00B66737" w:rsidP="009B1684">
      <w:pPr>
        <w:contextualSpacing/>
        <w:rPr>
          <w:rFonts w:ascii="Arial" w:hAnsi="Arial" w:cs="Arial"/>
          <w:color w:val="000000" w:themeColor="text1"/>
        </w:rPr>
      </w:pPr>
      <w:r w:rsidRPr="00EA6EED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E035F4F" wp14:editId="326C2288">
            <wp:simplePos x="0" y="0"/>
            <wp:positionH relativeFrom="margin">
              <wp:posOffset>3769995</wp:posOffset>
            </wp:positionH>
            <wp:positionV relativeFrom="margin">
              <wp:posOffset>-242470</wp:posOffset>
            </wp:positionV>
            <wp:extent cx="1892808" cy="97567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tec_Logo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97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758" w:rsidRPr="00EA6EED">
        <w:rPr>
          <w:color w:val="000000" w:themeColor="text1"/>
          <w:sz w:val="20"/>
        </w:rPr>
        <w:t>Media contact:</w:t>
      </w:r>
    </w:p>
    <w:p w14:paraId="44124D71" w14:textId="77777777" w:rsidR="00B15758" w:rsidRPr="00EA6EED" w:rsidRDefault="00B15758" w:rsidP="009B1684">
      <w:pPr>
        <w:contextualSpacing/>
        <w:rPr>
          <w:color w:val="000000" w:themeColor="text1"/>
          <w:sz w:val="20"/>
        </w:rPr>
      </w:pPr>
      <w:r w:rsidRPr="00EA6EED">
        <w:rPr>
          <w:color w:val="000000" w:themeColor="text1"/>
          <w:sz w:val="20"/>
        </w:rPr>
        <w:t>Heather West</w:t>
      </w:r>
    </w:p>
    <w:p w14:paraId="0D31CFAE" w14:textId="77777777" w:rsidR="00B15758" w:rsidRPr="00EA6EED" w:rsidRDefault="00B15758" w:rsidP="009B1684">
      <w:pPr>
        <w:contextualSpacing/>
        <w:rPr>
          <w:color w:val="000000" w:themeColor="text1"/>
          <w:sz w:val="20"/>
        </w:rPr>
      </w:pPr>
      <w:r w:rsidRPr="00EA6EED">
        <w:rPr>
          <w:color w:val="000000" w:themeColor="text1"/>
          <w:sz w:val="20"/>
        </w:rPr>
        <w:t>612-724-8760</w:t>
      </w:r>
    </w:p>
    <w:p w14:paraId="4AF901B4" w14:textId="77777777" w:rsidR="00B15758" w:rsidRPr="00EA6EED" w:rsidRDefault="00B15758" w:rsidP="009B1684">
      <w:pPr>
        <w:contextualSpacing/>
        <w:rPr>
          <w:color w:val="000000" w:themeColor="text1"/>
          <w:sz w:val="20"/>
        </w:rPr>
      </w:pPr>
      <w:r w:rsidRPr="00EA6EED">
        <w:rPr>
          <w:color w:val="000000" w:themeColor="text1"/>
          <w:sz w:val="20"/>
        </w:rPr>
        <w:t>heather@heatherwestpr.com</w:t>
      </w:r>
    </w:p>
    <w:p w14:paraId="4DC338C5" w14:textId="77777777" w:rsidR="00B15758" w:rsidRPr="00EA6EED" w:rsidRDefault="00B15758" w:rsidP="009B1684">
      <w:pPr>
        <w:contextualSpacing/>
        <w:rPr>
          <w:rFonts w:ascii="Futura" w:hAnsi="Futura"/>
          <w:i/>
          <w:color w:val="000000" w:themeColor="text1"/>
          <w:sz w:val="30"/>
          <w:szCs w:val="30"/>
        </w:rPr>
      </w:pPr>
    </w:p>
    <w:p w14:paraId="22F148CD" w14:textId="3EA02A9D" w:rsidR="001B226F" w:rsidRDefault="004A2781" w:rsidP="009B1684">
      <w:pPr>
        <w:contextualSpacing/>
        <w:jc w:val="center"/>
        <w:rPr>
          <w:rFonts w:ascii="Futura Medium" w:hAnsi="Futura Medium" w:cs="Futura Medium"/>
          <w:color w:val="000000" w:themeColor="text1"/>
          <w:sz w:val="30"/>
          <w:szCs w:val="30"/>
        </w:rPr>
      </w:pPr>
      <w:r>
        <w:rPr>
          <w:rFonts w:ascii="Futura Medium" w:hAnsi="Futura Medium" w:cs="Futura Medium"/>
          <w:color w:val="000000" w:themeColor="text1"/>
          <w:sz w:val="30"/>
          <w:szCs w:val="30"/>
        </w:rPr>
        <w:t>Signage</w:t>
      </w:r>
      <w:r w:rsidR="001B226F">
        <w:rPr>
          <w:rFonts w:ascii="Futura Medium" w:hAnsi="Futura Medium" w:cs="Futura Medium"/>
          <w:color w:val="000000" w:themeColor="text1"/>
          <w:sz w:val="30"/>
          <w:szCs w:val="30"/>
        </w:rPr>
        <w:t xml:space="preserve"> </w:t>
      </w:r>
      <w:r w:rsidR="008F1B84">
        <w:rPr>
          <w:rFonts w:ascii="Futura Medium" w:hAnsi="Futura Medium" w:cs="Futura Medium"/>
          <w:color w:val="000000" w:themeColor="text1"/>
          <w:sz w:val="30"/>
          <w:szCs w:val="30"/>
        </w:rPr>
        <w:t>showcase</w:t>
      </w:r>
      <w:r>
        <w:rPr>
          <w:rFonts w:ascii="Futura Medium" w:hAnsi="Futura Medium" w:cs="Futura Medium"/>
          <w:color w:val="000000" w:themeColor="text1"/>
          <w:sz w:val="30"/>
          <w:szCs w:val="30"/>
        </w:rPr>
        <w:t>s</w:t>
      </w:r>
      <w:r w:rsidR="008F1B84">
        <w:rPr>
          <w:rFonts w:ascii="Futura Medium" w:hAnsi="Futura Medium" w:cs="Futura Medium"/>
          <w:color w:val="000000" w:themeColor="text1"/>
          <w:sz w:val="30"/>
          <w:szCs w:val="30"/>
        </w:rPr>
        <w:t xml:space="preserve"> </w:t>
      </w:r>
      <w:r w:rsidR="001B226F">
        <w:rPr>
          <w:rFonts w:ascii="Futura Medium" w:hAnsi="Futura Medium" w:cs="Futura Medium"/>
          <w:color w:val="000000" w:themeColor="text1"/>
          <w:sz w:val="30"/>
          <w:szCs w:val="30"/>
        </w:rPr>
        <w:t>wood look without the maintenance</w:t>
      </w:r>
    </w:p>
    <w:p w14:paraId="5565CA5C" w14:textId="4A57BCC2" w:rsidR="00C552EA" w:rsidRPr="00EA6EED" w:rsidRDefault="001B226F" w:rsidP="009B1684">
      <w:pPr>
        <w:contextualSpacing/>
        <w:jc w:val="center"/>
        <w:rPr>
          <w:rFonts w:ascii="Futura Medium" w:hAnsi="Futura Medium" w:cs="Futura Medium"/>
          <w:bCs/>
          <w:color w:val="000000"/>
          <w:sz w:val="30"/>
        </w:rPr>
      </w:pPr>
      <w:r>
        <w:rPr>
          <w:rFonts w:ascii="Futura Medium" w:hAnsi="Futura Medium" w:cs="Futura Medium"/>
          <w:color w:val="000000" w:themeColor="text1"/>
          <w:sz w:val="30"/>
          <w:szCs w:val="30"/>
        </w:rPr>
        <w:t xml:space="preserve">using </w:t>
      </w:r>
      <w:r w:rsidR="00A41829" w:rsidRPr="00EA6EED">
        <w:rPr>
          <w:rFonts w:ascii="Futura Medium" w:hAnsi="Futura Medium" w:cs="Futura Medium"/>
          <w:color w:val="000000" w:themeColor="text1"/>
          <w:sz w:val="30"/>
          <w:szCs w:val="30"/>
        </w:rPr>
        <w:t>Linetec</w:t>
      </w:r>
      <w:r>
        <w:rPr>
          <w:rFonts w:ascii="Futura Medium" w:hAnsi="Futura Medium" w:cs="Futura Medium"/>
          <w:color w:val="000000" w:themeColor="text1"/>
          <w:sz w:val="30"/>
          <w:szCs w:val="30"/>
        </w:rPr>
        <w:t>’s wood grain finishes for aluminum</w:t>
      </w:r>
    </w:p>
    <w:p w14:paraId="3D1121BC" w14:textId="77777777" w:rsidR="00370901" w:rsidRPr="005A74E7" w:rsidRDefault="00370901" w:rsidP="009B1684">
      <w:pPr>
        <w:rPr>
          <w:color w:val="000000" w:themeColor="text1"/>
          <w:sz w:val="22"/>
          <w:szCs w:val="22"/>
        </w:rPr>
      </w:pPr>
    </w:p>
    <w:p w14:paraId="17E9B332" w14:textId="0CA91D33" w:rsidR="001B226F" w:rsidRPr="004A2781" w:rsidRDefault="00B15758" w:rsidP="009B1684">
      <w:pPr>
        <w:rPr>
          <w:color w:val="000000" w:themeColor="text1"/>
          <w:sz w:val="22"/>
          <w:szCs w:val="22"/>
        </w:rPr>
      </w:pPr>
      <w:r w:rsidRPr="004A2781">
        <w:rPr>
          <w:color w:val="000000" w:themeColor="text1"/>
          <w:sz w:val="22"/>
          <w:szCs w:val="22"/>
        </w:rPr>
        <w:t>Wausau, Wisconsin (</w:t>
      </w:r>
      <w:r w:rsidR="001B226F" w:rsidRPr="004A2781">
        <w:rPr>
          <w:color w:val="000000" w:themeColor="text1"/>
          <w:sz w:val="22"/>
          <w:szCs w:val="22"/>
        </w:rPr>
        <w:t>Feb. 2021</w:t>
      </w:r>
      <w:r w:rsidRPr="004A2781">
        <w:rPr>
          <w:color w:val="000000" w:themeColor="text1"/>
          <w:sz w:val="22"/>
          <w:szCs w:val="22"/>
        </w:rPr>
        <w:t>) –</w:t>
      </w:r>
      <w:r w:rsidR="0039267A" w:rsidRPr="004A2781">
        <w:rPr>
          <w:color w:val="000000" w:themeColor="text1"/>
          <w:sz w:val="22"/>
          <w:szCs w:val="22"/>
        </w:rPr>
        <w:t xml:space="preserve"> </w:t>
      </w:r>
      <w:r w:rsidR="004A2781" w:rsidRPr="004A2781">
        <w:rPr>
          <w:color w:val="000000" w:themeColor="text1"/>
          <w:sz w:val="22"/>
          <w:szCs w:val="22"/>
        </w:rPr>
        <w:t xml:space="preserve">Signage and display components traditionally made in wood can be updated to benefit from the performance of architectural aluminum without compromising the classic details. </w:t>
      </w:r>
      <w:r w:rsidR="00802930" w:rsidRPr="004A2781">
        <w:rPr>
          <w:color w:val="000000" w:themeColor="text1"/>
          <w:sz w:val="22"/>
          <w:szCs w:val="22"/>
        </w:rPr>
        <w:t xml:space="preserve">Linetec’s wood grain finishes </w:t>
      </w:r>
      <w:r w:rsidR="004A2781" w:rsidRPr="004A2781">
        <w:rPr>
          <w:color w:val="000000" w:themeColor="text1"/>
          <w:sz w:val="22"/>
          <w:szCs w:val="22"/>
        </w:rPr>
        <w:t>for aluminum</w:t>
      </w:r>
      <w:r w:rsidR="00802930" w:rsidRPr="004A2781">
        <w:rPr>
          <w:color w:val="000000" w:themeColor="text1"/>
          <w:sz w:val="22"/>
          <w:szCs w:val="22"/>
        </w:rPr>
        <w:t xml:space="preserve"> present the natural look of real wood</w:t>
      </w:r>
      <w:r w:rsidR="00172ED4" w:rsidRPr="004A2781">
        <w:rPr>
          <w:color w:val="000000" w:themeColor="text1"/>
          <w:sz w:val="22"/>
          <w:szCs w:val="22"/>
        </w:rPr>
        <w:t>, while</w:t>
      </w:r>
      <w:r w:rsidR="004A2781" w:rsidRPr="004A2781">
        <w:rPr>
          <w:color w:val="000000" w:themeColor="text1"/>
          <w:sz w:val="22"/>
          <w:szCs w:val="22"/>
        </w:rPr>
        <w:t xml:space="preserve"> offering</w:t>
      </w:r>
      <w:r w:rsidR="00172ED4" w:rsidRPr="004A2781">
        <w:rPr>
          <w:color w:val="000000" w:themeColor="text1"/>
          <w:sz w:val="22"/>
          <w:szCs w:val="22"/>
        </w:rPr>
        <w:t xml:space="preserve"> low</w:t>
      </w:r>
      <w:r w:rsidR="004A2781" w:rsidRPr="004A2781">
        <w:rPr>
          <w:color w:val="000000" w:themeColor="text1"/>
          <w:sz w:val="22"/>
          <w:szCs w:val="22"/>
        </w:rPr>
        <w:t>er</w:t>
      </w:r>
      <w:r w:rsidR="00172ED4" w:rsidRPr="004A2781">
        <w:rPr>
          <w:color w:val="000000" w:themeColor="text1"/>
          <w:sz w:val="22"/>
          <w:szCs w:val="22"/>
        </w:rPr>
        <w:t xml:space="preserve"> maintenance and greater longevity</w:t>
      </w:r>
      <w:r w:rsidR="00802930" w:rsidRPr="004A2781">
        <w:rPr>
          <w:color w:val="000000" w:themeColor="text1"/>
          <w:sz w:val="22"/>
          <w:szCs w:val="22"/>
        </w:rPr>
        <w:t>.</w:t>
      </w:r>
    </w:p>
    <w:p w14:paraId="26A48E43" w14:textId="0BE6A0C8" w:rsidR="001B226F" w:rsidRPr="004A2781" w:rsidRDefault="001B226F" w:rsidP="009B1684">
      <w:pPr>
        <w:rPr>
          <w:color w:val="000000" w:themeColor="text1"/>
          <w:sz w:val="22"/>
          <w:szCs w:val="22"/>
        </w:rPr>
      </w:pPr>
    </w:p>
    <w:p w14:paraId="7D145C46" w14:textId="32317126" w:rsidR="004A2781" w:rsidRPr="004A2781" w:rsidRDefault="004A2781" w:rsidP="004A2781">
      <w:pPr>
        <w:rPr>
          <w:sz w:val="22"/>
          <w:szCs w:val="22"/>
        </w:rPr>
      </w:pPr>
      <w:r w:rsidRPr="004A2781">
        <w:rPr>
          <w:sz w:val="22"/>
          <w:szCs w:val="22"/>
        </w:rPr>
        <w:t>“Wood communicates elegance, while being approachable. Used in signage, it beckons us with its inviting look and draws us to touch its grain,” said Linetec’s marketing manager, Tammy Schroeder, LEED</w:t>
      </w:r>
      <w:r w:rsidRPr="004A2781">
        <w:rPr>
          <w:sz w:val="22"/>
          <w:szCs w:val="22"/>
          <w:vertAlign w:val="superscript"/>
        </w:rPr>
        <w:t>®</w:t>
      </w:r>
      <w:r w:rsidRPr="004A2781">
        <w:rPr>
          <w:sz w:val="22"/>
          <w:szCs w:val="22"/>
        </w:rPr>
        <w:t xml:space="preserve"> Green Associate. “As the ambassador of a company’s brand or a household’s address, we expect our signage to be our best representative. With real wood, the demands of regular maintenance make a consistent appearance more challenging. Choosing aluminum with wood grain finishes alleviates this concern and delivers the intended look and lasting impression.”</w:t>
      </w:r>
    </w:p>
    <w:p w14:paraId="3053CA85" w14:textId="77777777" w:rsidR="005A74E7" w:rsidRPr="004A2781" w:rsidRDefault="005A74E7" w:rsidP="009B1684">
      <w:pPr>
        <w:rPr>
          <w:sz w:val="22"/>
          <w:szCs w:val="22"/>
        </w:rPr>
      </w:pPr>
    </w:p>
    <w:p w14:paraId="6471CD4B" w14:textId="5258BDC9" w:rsidR="009B1684" w:rsidRPr="004A2781" w:rsidRDefault="00C85F5C" w:rsidP="009B1684">
      <w:pPr>
        <w:rPr>
          <w:sz w:val="22"/>
          <w:szCs w:val="22"/>
        </w:rPr>
      </w:pPr>
      <w:r w:rsidRPr="004A2781">
        <w:rPr>
          <w:sz w:val="22"/>
          <w:szCs w:val="22"/>
        </w:rPr>
        <w:t>Linetec’s specialty finishes for architectural aluminum products include more than 50 wood grain options of species and color along with textured grain patterns. These</w:t>
      </w:r>
      <w:r w:rsidR="005A74E7" w:rsidRPr="004A2781">
        <w:rPr>
          <w:sz w:val="22"/>
          <w:szCs w:val="22"/>
        </w:rPr>
        <w:t xml:space="preserve"> finishes can replicate expensive hardwoods like oak and walnut that may otherwise be cost-prohibitive</w:t>
      </w:r>
      <w:r w:rsidRPr="004A2781">
        <w:rPr>
          <w:sz w:val="22"/>
          <w:szCs w:val="22"/>
        </w:rPr>
        <w:t xml:space="preserve"> for s</w:t>
      </w:r>
      <w:r w:rsidR="004A2781" w:rsidRPr="004A2781">
        <w:rPr>
          <w:sz w:val="22"/>
          <w:szCs w:val="22"/>
        </w:rPr>
        <w:t>ignage and displays</w:t>
      </w:r>
      <w:r w:rsidR="005A74E7" w:rsidRPr="004A2781">
        <w:rPr>
          <w:sz w:val="22"/>
          <w:szCs w:val="22"/>
        </w:rPr>
        <w:t>.</w:t>
      </w:r>
    </w:p>
    <w:p w14:paraId="24928C9A" w14:textId="77777777" w:rsidR="00172ED4" w:rsidRPr="004A2781" w:rsidRDefault="00172ED4" w:rsidP="00172ED4">
      <w:pPr>
        <w:rPr>
          <w:sz w:val="22"/>
          <w:szCs w:val="22"/>
        </w:rPr>
      </w:pPr>
    </w:p>
    <w:p w14:paraId="05889C38" w14:textId="7E3E7E7E" w:rsidR="00C85F5C" w:rsidRDefault="00172ED4" w:rsidP="00172ED4">
      <w:pPr>
        <w:rPr>
          <w:sz w:val="22"/>
          <w:szCs w:val="22"/>
        </w:rPr>
      </w:pPr>
      <w:r w:rsidRPr="004A2781">
        <w:rPr>
          <w:sz w:val="22"/>
          <w:szCs w:val="22"/>
        </w:rPr>
        <w:t xml:space="preserve">Durable and practical, Linetec’s wood grain finishes on aluminum </w:t>
      </w:r>
      <w:r w:rsidR="009B1684" w:rsidRPr="004A2781">
        <w:rPr>
          <w:sz w:val="22"/>
          <w:szCs w:val="22"/>
        </w:rPr>
        <w:t>deliver a consistent appearance and reliable performance. Unlike actual wood,</w:t>
      </w:r>
      <w:r w:rsidR="005A74E7" w:rsidRPr="004A2781">
        <w:rPr>
          <w:sz w:val="22"/>
          <w:szCs w:val="22"/>
        </w:rPr>
        <w:t xml:space="preserve"> </w:t>
      </w:r>
      <w:r w:rsidR="00C85F5C" w:rsidRPr="004A2781">
        <w:rPr>
          <w:sz w:val="22"/>
          <w:szCs w:val="22"/>
        </w:rPr>
        <w:t xml:space="preserve">aluminum </w:t>
      </w:r>
      <w:r w:rsidR="00AA79FF">
        <w:rPr>
          <w:sz w:val="22"/>
          <w:szCs w:val="22"/>
        </w:rPr>
        <w:t>signs and displays</w:t>
      </w:r>
      <w:r w:rsidR="009B1684" w:rsidRPr="004A2781">
        <w:rPr>
          <w:sz w:val="22"/>
          <w:szCs w:val="22"/>
        </w:rPr>
        <w:t xml:space="preserve"> </w:t>
      </w:r>
      <w:r w:rsidR="005A74E7" w:rsidRPr="004A2781">
        <w:rPr>
          <w:sz w:val="22"/>
          <w:szCs w:val="22"/>
        </w:rPr>
        <w:t>will not rot, swell or warp. Scratch- and corrosion-resistant, these finishes provide durable protection from UV rays and are impervious to humidity and insects</w:t>
      </w:r>
      <w:r w:rsidR="005A74E7" w:rsidRPr="00C85F5C">
        <w:rPr>
          <w:sz w:val="22"/>
          <w:szCs w:val="22"/>
        </w:rPr>
        <w:t>.</w:t>
      </w:r>
    </w:p>
    <w:p w14:paraId="28B71798" w14:textId="77777777" w:rsidR="00C85F5C" w:rsidRDefault="00C85F5C" w:rsidP="00172ED4">
      <w:pPr>
        <w:rPr>
          <w:sz w:val="22"/>
          <w:szCs w:val="22"/>
        </w:rPr>
      </w:pPr>
    </w:p>
    <w:p w14:paraId="22D394DA" w14:textId="7959C282" w:rsidR="005A74E7" w:rsidRPr="00C85F5C" w:rsidRDefault="00C85F5C" w:rsidP="00172ED4">
      <w:pPr>
        <w:rPr>
          <w:sz w:val="22"/>
          <w:szCs w:val="22"/>
        </w:rPr>
      </w:pPr>
      <w:r>
        <w:rPr>
          <w:sz w:val="22"/>
          <w:szCs w:val="22"/>
        </w:rPr>
        <w:t xml:space="preserve">Within its quality-controlled finishing facility, </w:t>
      </w:r>
      <w:r w:rsidRPr="00C85F5C">
        <w:rPr>
          <w:sz w:val="22"/>
          <w:szCs w:val="22"/>
        </w:rPr>
        <w:t xml:space="preserve">Linetec applies these </w:t>
      </w:r>
      <w:r>
        <w:rPr>
          <w:sz w:val="22"/>
          <w:szCs w:val="22"/>
        </w:rPr>
        <w:t xml:space="preserve">coatings </w:t>
      </w:r>
      <w:r w:rsidRPr="00C85F5C">
        <w:rPr>
          <w:sz w:val="22"/>
          <w:szCs w:val="22"/>
        </w:rPr>
        <w:t xml:space="preserve">utilizing a powder coat sublimation process to meet or exceed the AAMA 2604 standard. </w:t>
      </w:r>
      <w:r w:rsidR="00172ED4" w:rsidRPr="005A74E7">
        <w:rPr>
          <w:sz w:val="22"/>
          <w:szCs w:val="22"/>
        </w:rPr>
        <w:t>At the end of their use</w:t>
      </w:r>
      <w:r w:rsidR="00172ED4" w:rsidRPr="00C85F5C">
        <w:rPr>
          <w:sz w:val="22"/>
          <w:szCs w:val="22"/>
        </w:rPr>
        <w:t xml:space="preserve">ful life as a </w:t>
      </w:r>
      <w:r w:rsidR="00AA79FF">
        <w:rPr>
          <w:sz w:val="22"/>
          <w:szCs w:val="22"/>
        </w:rPr>
        <w:t>sign or display</w:t>
      </w:r>
      <w:r w:rsidR="00172ED4" w:rsidRPr="005A74E7">
        <w:rPr>
          <w:sz w:val="22"/>
          <w:szCs w:val="22"/>
        </w:rPr>
        <w:t xml:space="preserve">, the </w:t>
      </w:r>
      <w:r>
        <w:rPr>
          <w:sz w:val="22"/>
          <w:szCs w:val="22"/>
        </w:rPr>
        <w:t xml:space="preserve">finished </w:t>
      </w:r>
      <w:r w:rsidR="00172ED4" w:rsidRPr="005A74E7">
        <w:rPr>
          <w:sz w:val="22"/>
          <w:szCs w:val="22"/>
        </w:rPr>
        <w:t>aluminum can be recycled.</w:t>
      </w:r>
    </w:p>
    <w:p w14:paraId="4D62969B" w14:textId="3411F779" w:rsidR="00F243D9" w:rsidRPr="00C85F5C" w:rsidRDefault="00F243D9" w:rsidP="009B1684">
      <w:pPr>
        <w:contextualSpacing/>
        <w:rPr>
          <w:color w:val="000000" w:themeColor="text1"/>
          <w:sz w:val="22"/>
          <w:szCs w:val="22"/>
        </w:rPr>
      </w:pPr>
    </w:p>
    <w:p w14:paraId="1CAA15FD" w14:textId="15667F18" w:rsidR="001B226F" w:rsidRPr="00C85F5C" w:rsidRDefault="001B226F" w:rsidP="009B1684">
      <w:pPr>
        <w:rPr>
          <w:color w:val="000000" w:themeColor="text1"/>
          <w:sz w:val="22"/>
          <w:szCs w:val="22"/>
        </w:rPr>
      </w:pPr>
      <w:r w:rsidRPr="00C85F5C">
        <w:rPr>
          <w:color w:val="000000" w:themeColor="text1"/>
          <w:sz w:val="22"/>
          <w:szCs w:val="22"/>
        </w:rPr>
        <w:t xml:space="preserve">To learn more about Linetec’s specialty wood grain coatings for aluminum please visit </w:t>
      </w:r>
      <w:hyperlink r:id="rId9" w:history="1">
        <w:r w:rsidR="009B1684" w:rsidRPr="00C85F5C">
          <w:rPr>
            <w:rStyle w:val="Hyperlink"/>
            <w:sz w:val="22"/>
            <w:szCs w:val="22"/>
          </w:rPr>
          <w:t>https://linetec.com/specialty-finishes/wood-grain</w:t>
        </w:r>
      </w:hyperlink>
      <w:r w:rsidRPr="00C85F5C">
        <w:rPr>
          <w:color w:val="000000" w:themeColor="text1"/>
          <w:sz w:val="22"/>
          <w:szCs w:val="22"/>
        </w:rPr>
        <w:t>.</w:t>
      </w:r>
    </w:p>
    <w:p w14:paraId="63B4E38A" w14:textId="77777777" w:rsidR="00FC56FD" w:rsidRPr="00802930" w:rsidRDefault="00FC56FD" w:rsidP="009B1684">
      <w:pPr>
        <w:rPr>
          <w:rFonts w:eastAsia="MS Mincho"/>
          <w:color w:val="000000" w:themeColor="text1"/>
          <w:sz w:val="22"/>
          <w:szCs w:val="22"/>
        </w:rPr>
      </w:pPr>
    </w:p>
    <w:p w14:paraId="18CEDCF2" w14:textId="77777777" w:rsidR="009B1684" w:rsidRDefault="009B1684" w:rsidP="009B1684">
      <w:pPr>
        <w:rPr>
          <w:b/>
          <w:bCs/>
          <w:i/>
          <w:iCs/>
          <w:sz w:val="20"/>
          <w:szCs w:val="20"/>
        </w:rPr>
      </w:pPr>
    </w:p>
    <w:p w14:paraId="2D8A0EDC" w14:textId="18268527" w:rsidR="004F6C52" w:rsidRPr="009B1684" w:rsidRDefault="004F6C52" w:rsidP="009B1684">
      <w:pPr>
        <w:rPr>
          <w:b/>
          <w:bCs/>
          <w:i/>
          <w:iCs/>
          <w:sz w:val="20"/>
          <w:szCs w:val="20"/>
        </w:rPr>
      </w:pPr>
      <w:r w:rsidRPr="009B1684">
        <w:rPr>
          <w:b/>
          <w:bCs/>
          <w:i/>
          <w:iCs/>
          <w:sz w:val="20"/>
          <w:szCs w:val="20"/>
        </w:rPr>
        <w:t>About Linetec</w:t>
      </w:r>
    </w:p>
    <w:p w14:paraId="2468CCB7" w14:textId="7155DE8B" w:rsidR="004F6C52" w:rsidRPr="009B1684" w:rsidRDefault="004F6C52" w:rsidP="009B1684">
      <w:pPr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 xml:space="preserve">Located in Wisconsin, </w:t>
      </w:r>
      <w:hyperlink r:id="rId10" w:tgtFrame="_blank" w:history="1">
        <w:r w:rsidRPr="009B1684">
          <w:rPr>
            <w:rStyle w:val="Hyperlink"/>
            <w:i/>
            <w:iCs/>
            <w:sz w:val="20"/>
            <w:szCs w:val="20"/>
          </w:rPr>
          <w:t>Linetec</w:t>
        </w:r>
      </w:hyperlink>
      <w:r w:rsidRPr="009B1684">
        <w:rPr>
          <w:i/>
          <w:iCs/>
          <w:sz w:val="20"/>
          <w:szCs w:val="20"/>
        </w:rPr>
        <w:t xml:space="preserve"> serves </w:t>
      </w:r>
      <w:r w:rsidR="001B226F" w:rsidRPr="009B1684">
        <w:rPr>
          <w:i/>
          <w:iCs/>
          <w:sz w:val="20"/>
          <w:szCs w:val="20"/>
        </w:rPr>
        <w:t xml:space="preserve">as a single source solution for architectural finishing. The company works with </w:t>
      </w:r>
      <w:r w:rsidRPr="009B1684">
        <w:rPr>
          <w:i/>
          <w:iCs/>
          <w:sz w:val="20"/>
          <w:szCs w:val="20"/>
        </w:rPr>
        <w:t>customers across the country, finishing such products as aluminum windows, wall systems, doors, hardware and other architectural metal components, as well as automotive, marine and manufactured consumer goods.</w:t>
      </w:r>
    </w:p>
    <w:p w14:paraId="63824432" w14:textId="77777777" w:rsidR="004F6C52" w:rsidRPr="009B1684" w:rsidRDefault="004F6C52" w:rsidP="009B1684">
      <w:pPr>
        <w:rPr>
          <w:i/>
          <w:iCs/>
          <w:sz w:val="20"/>
          <w:szCs w:val="20"/>
        </w:rPr>
      </w:pPr>
    </w:p>
    <w:p w14:paraId="177F2974" w14:textId="52FEF718" w:rsidR="004F6C52" w:rsidRPr="009B1684" w:rsidRDefault="004F6C52" w:rsidP="009B1684">
      <w:pPr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>Linetec is a member of the Aluminum Anodizers Council (</w:t>
      </w:r>
      <w:hyperlink r:id="rId11" w:tgtFrame="_blank" w:history="1">
        <w:r w:rsidRPr="009B1684">
          <w:rPr>
            <w:rStyle w:val="Hyperlink"/>
            <w:i/>
            <w:iCs/>
            <w:sz w:val="20"/>
            <w:szCs w:val="20"/>
          </w:rPr>
          <w:t>AAC</w:t>
        </w:r>
      </w:hyperlink>
      <w:r w:rsidRPr="009B1684">
        <w:rPr>
          <w:i/>
          <w:iCs/>
          <w:sz w:val="20"/>
          <w:szCs w:val="20"/>
        </w:rPr>
        <w:t>), the American Institute of Architects (</w:t>
      </w:r>
      <w:hyperlink r:id="rId12" w:tgtFrame="_blank" w:history="1">
        <w:r w:rsidRPr="009B1684">
          <w:rPr>
            <w:rStyle w:val="Hyperlink"/>
            <w:i/>
            <w:iCs/>
            <w:sz w:val="20"/>
            <w:szCs w:val="20"/>
          </w:rPr>
          <w:t>AIA</w:t>
        </w:r>
      </w:hyperlink>
      <w:r w:rsidRPr="009B1684">
        <w:rPr>
          <w:i/>
          <w:iCs/>
          <w:sz w:val="20"/>
          <w:szCs w:val="20"/>
        </w:rPr>
        <w:t xml:space="preserve">), </w:t>
      </w:r>
      <w:r w:rsidR="00A21ED3" w:rsidRPr="009B1684">
        <w:rPr>
          <w:i/>
          <w:iCs/>
          <w:sz w:val="20"/>
          <w:szCs w:val="20"/>
        </w:rPr>
        <w:t>the Fenestration &amp; Glazing Industry Alliance (</w:t>
      </w:r>
      <w:hyperlink r:id="rId13" w:history="1">
        <w:r w:rsidR="00A21ED3" w:rsidRPr="009B1684">
          <w:rPr>
            <w:rStyle w:val="Hyperlink"/>
            <w:i/>
            <w:iCs/>
            <w:sz w:val="20"/>
            <w:szCs w:val="20"/>
          </w:rPr>
          <w:t>FGIA</w:t>
        </w:r>
      </w:hyperlink>
      <w:r w:rsidR="00A21ED3" w:rsidRPr="009B1684">
        <w:rPr>
          <w:i/>
          <w:iCs/>
          <w:sz w:val="20"/>
          <w:szCs w:val="20"/>
        </w:rPr>
        <w:t xml:space="preserve">), </w:t>
      </w:r>
      <w:r w:rsidRPr="009B1684">
        <w:rPr>
          <w:i/>
          <w:iCs/>
          <w:sz w:val="20"/>
          <w:szCs w:val="20"/>
        </w:rPr>
        <w:t>the National Glass Association (</w:t>
      </w:r>
      <w:hyperlink r:id="rId14" w:history="1">
        <w:r w:rsidRPr="009B1684">
          <w:rPr>
            <w:rStyle w:val="Hyperlink"/>
            <w:i/>
            <w:iCs/>
            <w:sz w:val="20"/>
            <w:szCs w:val="20"/>
          </w:rPr>
          <w:t>NGA</w:t>
        </w:r>
      </w:hyperlink>
      <w:r w:rsidRPr="009B1684">
        <w:rPr>
          <w:i/>
          <w:iCs/>
          <w:sz w:val="20"/>
          <w:szCs w:val="20"/>
        </w:rPr>
        <w:t>)</w:t>
      </w:r>
      <w:r w:rsidR="00BF7635" w:rsidRPr="009B1684">
        <w:rPr>
          <w:i/>
          <w:iCs/>
          <w:sz w:val="20"/>
          <w:szCs w:val="20"/>
        </w:rPr>
        <w:t xml:space="preserve"> and</w:t>
      </w:r>
      <w:r w:rsidRPr="009B1684">
        <w:rPr>
          <w:i/>
          <w:iCs/>
          <w:sz w:val="20"/>
          <w:szCs w:val="20"/>
        </w:rPr>
        <w:t xml:space="preserve"> the U.S. Green Building Council (</w:t>
      </w:r>
      <w:hyperlink r:id="rId15" w:tgtFrame="_blank" w:history="1">
        <w:r w:rsidRPr="009B1684">
          <w:rPr>
            <w:rStyle w:val="Hyperlink"/>
            <w:i/>
            <w:iCs/>
            <w:sz w:val="20"/>
            <w:szCs w:val="20"/>
          </w:rPr>
          <w:t>USGBC</w:t>
        </w:r>
      </w:hyperlink>
      <w:r w:rsidRPr="009B1684">
        <w:rPr>
          <w:i/>
          <w:iCs/>
          <w:sz w:val="20"/>
          <w:szCs w:val="20"/>
        </w:rPr>
        <w:t>).</w:t>
      </w:r>
      <w:r w:rsidR="001B226F" w:rsidRPr="009B1684">
        <w:rPr>
          <w:i/>
          <w:iCs/>
          <w:sz w:val="20"/>
          <w:szCs w:val="20"/>
        </w:rPr>
        <w:t xml:space="preserve"> The company is a subsidiary of </w:t>
      </w:r>
      <w:hyperlink r:id="rId16" w:tgtFrame="_blank" w:history="1">
        <w:r w:rsidR="001B226F" w:rsidRPr="009B1684">
          <w:rPr>
            <w:rStyle w:val="Hyperlink"/>
            <w:i/>
            <w:iCs/>
            <w:sz w:val="20"/>
            <w:szCs w:val="20"/>
          </w:rPr>
          <w:t xml:space="preserve">Apogee Enterprises, Inc. </w:t>
        </w:r>
      </w:hyperlink>
      <w:r w:rsidR="001B226F" w:rsidRPr="009B1684">
        <w:rPr>
          <w:i/>
          <w:iCs/>
          <w:sz w:val="20"/>
          <w:szCs w:val="20"/>
        </w:rPr>
        <w:t>(NASDAQ:APOG).</w:t>
      </w:r>
    </w:p>
    <w:p w14:paraId="3009CBC6" w14:textId="02DB3556" w:rsidR="001B226F" w:rsidRPr="009B1684" w:rsidRDefault="001B226F" w:rsidP="009B1684">
      <w:pPr>
        <w:rPr>
          <w:i/>
          <w:iCs/>
          <w:sz w:val="20"/>
          <w:szCs w:val="20"/>
        </w:rPr>
      </w:pPr>
    </w:p>
    <w:p w14:paraId="04660137" w14:textId="59BBC5BF" w:rsidR="00B73AAF" w:rsidRPr="009B1684" w:rsidRDefault="001B226F" w:rsidP="009B1684">
      <w:pPr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 xml:space="preserve">Please visit </w:t>
      </w:r>
      <w:hyperlink r:id="rId17" w:history="1">
        <w:r w:rsidRPr="00255EBB">
          <w:rPr>
            <w:rStyle w:val="Hyperlink"/>
            <w:i/>
            <w:iCs/>
            <w:sz w:val="20"/>
            <w:szCs w:val="20"/>
          </w:rPr>
          <w:t>https://linetec.com</w:t>
        </w:r>
      </w:hyperlink>
      <w:r w:rsidRPr="009B1684">
        <w:rPr>
          <w:i/>
          <w:iCs/>
          <w:sz w:val="20"/>
          <w:szCs w:val="20"/>
        </w:rPr>
        <w:t xml:space="preserve"> for more information about </w:t>
      </w:r>
      <w:r w:rsidR="00802930" w:rsidRPr="009B1684">
        <w:rPr>
          <w:i/>
          <w:iCs/>
          <w:sz w:val="20"/>
          <w:szCs w:val="20"/>
        </w:rPr>
        <w:t>Linetec’s architectural paint, anodize and specialty finishes.</w:t>
      </w:r>
    </w:p>
    <w:p w14:paraId="584945B0" w14:textId="77777777" w:rsidR="00225C36" w:rsidRPr="009B1684" w:rsidRDefault="004F6C52" w:rsidP="009B1684">
      <w:pPr>
        <w:jc w:val="center"/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>###</w:t>
      </w:r>
    </w:p>
    <w:sectPr w:rsidR="00225C36" w:rsidRPr="009B1684" w:rsidSect="00274BA2">
      <w:type w:val="continuous"/>
      <w:pgSz w:w="12240" w:h="15840"/>
      <w:pgMar w:top="1440" w:right="1710" w:bottom="80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6FFC" w14:textId="77777777" w:rsidR="00730831" w:rsidRDefault="00730831" w:rsidP="00906415">
      <w:r>
        <w:separator/>
      </w:r>
    </w:p>
  </w:endnote>
  <w:endnote w:type="continuationSeparator" w:id="0">
    <w:p w14:paraId="44D90749" w14:textId="77777777" w:rsidR="00730831" w:rsidRDefault="00730831" w:rsidP="009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﷽﷽﷽﷽﷽﷽﷽﷽"/>
    <w:panose1 w:val="020B0602020204020303"/>
    <w:charset w:val="00"/>
    <w:family w:val="swiss"/>
    <w:pitch w:val="variable"/>
    <w:sig w:usb0="A0000AAF" w:usb1="5000214A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닆뫝ៀ¦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F12F" w14:textId="77777777" w:rsidR="00730831" w:rsidRDefault="00730831" w:rsidP="00906415">
      <w:r>
        <w:separator/>
      </w:r>
    </w:p>
  </w:footnote>
  <w:footnote w:type="continuationSeparator" w:id="0">
    <w:p w14:paraId="2CEAF1F0" w14:textId="77777777" w:rsidR="00730831" w:rsidRDefault="00730831" w:rsidP="0090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08B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7B15"/>
    <w:multiLevelType w:val="multilevel"/>
    <w:tmpl w:val="6908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2718"/>
    <w:multiLevelType w:val="multilevel"/>
    <w:tmpl w:val="11D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4FF6"/>
    <w:multiLevelType w:val="hybridMultilevel"/>
    <w:tmpl w:val="89F4C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D0749"/>
    <w:multiLevelType w:val="hybridMultilevel"/>
    <w:tmpl w:val="703A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9B"/>
    <w:multiLevelType w:val="hybridMultilevel"/>
    <w:tmpl w:val="A97EC752"/>
    <w:lvl w:ilvl="0" w:tplc="15DE58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90EAA4">
      <w:start w:val="160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17CD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DA8FC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36B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D8018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9EE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F46B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34B2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6975EE"/>
    <w:multiLevelType w:val="hybridMultilevel"/>
    <w:tmpl w:val="5488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F7F51"/>
    <w:multiLevelType w:val="hybridMultilevel"/>
    <w:tmpl w:val="1004C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E57C0"/>
    <w:multiLevelType w:val="hybridMultilevel"/>
    <w:tmpl w:val="356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7F4E"/>
    <w:multiLevelType w:val="hybridMultilevel"/>
    <w:tmpl w:val="313EA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A4D2E"/>
    <w:multiLevelType w:val="hybridMultilevel"/>
    <w:tmpl w:val="31E0D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C4CC3"/>
    <w:multiLevelType w:val="multilevel"/>
    <w:tmpl w:val="461C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56871"/>
    <w:multiLevelType w:val="hybridMultilevel"/>
    <w:tmpl w:val="1C6A6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3994"/>
    <w:multiLevelType w:val="hybridMultilevel"/>
    <w:tmpl w:val="272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26556"/>
    <w:multiLevelType w:val="hybridMultilevel"/>
    <w:tmpl w:val="F716B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228EA"/>
    <w:multiLevelType w:val="hybridMultilevel"/>
    <w:tmpl w:val="9E164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D691C"/>
    <w:multiLevelType w:val="hybridMultilevel"/>
    <w:tmpl w:val="6DC6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C445E"/>
    <w:multiLevelType w:val="hybridMultilevel"/>
    <w:tmpl w:val="3CA01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D802ED"/>
    <w:multiLevelType w:val="hybridMultilevel"/>
    <w:tmpl w:val="2570A9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7F5084A"/>
    <w:multiLevelType w:val="hybridMultilevel"/>
    <w:tmpl w:val="50066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93BB9"/>
    <w:multiLevelType w:val="hybridMultilevel"/>
    <w:tmpl w:val="EF1C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04CCB"/>
    <w:multiLevelType w:val="hybridMultilevel"/>
    <w:tmpl w:val="A822943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6D732497"/>
    <w:multiLevelType w:val="hybridMultilevel"/>
    <w:tmpl w:val="F946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C5902"/>
    <w:multiLevelType w:val="multilevel"/>
    <w:tmpl w:val="FB9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A24ED"/>
    <w:multiLevelType w:val="hybridMultilevel"/>
    <w:tmpl w:val="8556C9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A445F28"/>
    <w:multiLevelType w:val="hybridMultilevel"/>
    <w:tmpl w:val="B90CA29C"/>
    <w:lvl w:ilvl="0" w:tplc="B4ACB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82F646">
      <w:start w:val="150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E684F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DA2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D868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6A6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5A3B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B237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5EF6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15"/>
  </w:num>
  <w:num w:numId="5">
    <w:abstractNumId w:val="22"/>
  </w:num>
  <w:num w:numId="6">
    <w:abstractNumId w:val="18"/>
  </w:num>
  <w:num w:numId="7">
    <w:abstractNumId w:val="16"/>
  </w:num>
  <w:num w:numId="8">
    <w:abstractNumId w:val="24"/>
  </w:num>
  <w:num w:numId="9">
    <w:abstractNumId w:val="10"/>
  </w:num>
  <w:num w:numId="10">
    <w:abstractNumId w:val="21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9"/>
  </w:num>
  <w:num w:numId="19">
    <w:abstractNumId w:val="19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17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8E"/>
    <w:rsid w:val="000016E6"/>
    <w:rsid w:val="00004FD0"/>
    <w:rsid w:val="00005B86"/>
    <w:rsid w:val="00005F52"/>
    <w:rsid w:val="00016EF5"/>
    <w:rsid w:val="00020AC2"/>
    <w:rsid w:val="00035AE6"/>
    <w:rsid w:val="00037DA3"/>
    <w:rsid w:val="000448D9"/>
    <w:rsid w:val="000534D4"/>
    <w:rsid w:val="000552CE"/>
    <w:rsid w:val="000613D9"/>
    <w:rsid w:val="00062AF6"/>
    <w:rsid w:val="00066830"/>
    <w:rsid w:val="00067C61"/>
    <w:rsid w:val="00074D99"/>
    <w:rsid w:val="00076EA3"/>
    <w:rsid w:val="00080AA6"/>
    <w:rsid w:val="00084115"/>
    <w:rsid w:val="0008416C"/>
    <w:rsid w:val="000902B8"/>
    <w:rsid w:val="00095653"/>
    <w:rsid w:val="00095F9D"/>
    <w:rsid w:val="00096563"/>
    <w:rsid w:val="000A25A1"/>
    <w:rsid w:val="000A3577"/>
    <w:rsid w:val="000A6589"/>
    <w:rsid w:val="000B09C8"/>
    <w:rsid w:val="000B730A"/>
    <w:rsid w:val="000C4BBC"/>
    <w:rsid w:val="000C59D2"/>
    <w:rsid w:val="000D0F32"/>
    <w:rsid w:val="000D3F23"/>
    <w:rsid w:val="000E3052"/>
    <w:rsid w:val="000E3EA9"/>
    <w:rsid w:val="000F0142"/>
    <w:rsid w:val="000F3123"/>
    <w:rsid w:val="000F50FC"/>
    <w:rsid w:val="0010225A"/>
    <w:rsid w:val="001024CF"/>
    <w:rsid w:val="00103F50"/>
    <w:rsid w:val="0010580D"/>
    <w:rsid w:val="00106510"/>
    <w:rsid w:val="00107FF0"/>
    <w:rsid w:val="00114027"/>
    <w:rsid w:val="00121F88"/>
    <w:rsid w:val="00123C98"/>
    <w:rsid w:val="00124289"/>
    <w:rsid w:val="001248A8"/>
    <w:rsid w:val="00124C64"/>
    <w:rsid w:val="001317D2"/>
    <w:rsid w:val="00132C72"/>
    <w:rsid w:val="00135700"/>
    <w:rsid w:val="00135777"/>
    <w:rsid w:val="0014319C"/>
    <w:rsid w:val="00143384"/>
    <w:rsid w:val="001455DF"/>
    <w:rsid w:val="00146A08"/>
    <w:rsid w:val="00154C0A"/>
    <w:rsid w:val="00162F92"/>
    <w:rsid w:val="00163856"/>
    <w:rsid w:val="00172810"/>
    <w:rsid w:val="00172ED4"/>
    <w:rsid w:val="00182209"/>
    <w:rsid w:val="00182EB8"/>
    <w:rsid w:val="00183191"/>
    <w:rsid w:val="00184486"/>
    <w:rsid w:val="0018464E"/>
    <w:rsid w:val="001865E7"/>
    <w:rsid w:val="00187904"/>
    <w:rsid w:val="00190F87"/>
    <w:rsid w:val="00191E9B"/>
    <w:rsid w:val="00191F8E"/>
    <w:rsid w:val="0019252B"/>
    <w:rsid w:val="00192B8E"/>
    <w:rsid w:val="00196EFB"/>
    <w:rsid w:val="001A038A"/>
    <w:rsid w:val="001A0FA5"/>
    <w:rsid w:val="001B226F"/>
    <w:rsid w:val="001B3B5D"/>
    <w:rsid w:val="001B67E9"/>
    <w:rsid w:val="001C25C0"/>
    <w:rsid w:val="001C71D3"/>
    <w:rsid w:val="001D2FD9"/>
    <w:rsid w:val="001E168F"/>
    <w:rsid w:val="001F060E"/>
    <w:rsid w:val="001F464A"/>
    <w:rsid w:val="001F5EFC"/>
    <w:rsid w:val="001F7ED2"/>
    <w:rsid w:val="0020279C"/>
    <w:rsid w:val="00211F79"/>
    <w:rsid w:val="002157C3"/>
    <w:rsid w:val="002158E7"/>
    <w:rsid w:val="002203D2"/>
    <w:rsid w:val="00220CEC"/>
    <w:rsid w:val="002226B9"/>
    <w:rsid w:val="00225C36"/>
    <w:rsid w:val="00230BB8"/>
    <w:rsid w:val="00234270"/>
    <w:rsid w:val="00235D59"/>
    <w:rsid w:val="002361E5"/>
    <w:rsid w:val="00237467"/>
    <w:rsid w:val="0024699C"/>
    <w:rsid w:val="00247FBA"/>
    <w:rsid w:val="0025182D"/>
    <w:rsid w:val="002526F1"/>
    <w:rsid w:val="00252D9B"/>
    <w:rsid w:val="00255EBB"/>
    <w:rsid w:val="00256FB4"/>
    <w:rsid w:val="0025774E"/>
    <w:rsid w:val="00273976"/>
    <w:rsid w:val="00274BA2"/>
    <w:rsid w:val="002777FB"/>
    <w:rsid w:val="00277F81"/>
    <w:rsid w:val="0028090A"/>
    <w:rsid w:val="00281AD3"/>
    <w:rsid w:val="002850A4"/>
    <w:rsid w:val="002903AB"/>
    <w:rsid w:val="002955E5"/>
    <w:rsid w:val="00295D43"/>
    <w:rsid w:val="002A3CB6"/>
    <w:rsid w:val="002A4B5C"/>
    <w:rsid w:val="002A4E86"/>
    <w:rsid w:val="002B0081"/>
    <w:rsid w:val="002B12D7"/>
    <w:rsid w:val="002B1AFE"/>
    <w:rsid w:val="002B7050"/>
    <w:rsid w:val="002C052B"/>
    <w:rsid w:val="002C4C8D"/>
    <w:rsid w:val="002C5080"/>
    <w:rsid w:val="002C682A"/>
    <w:rsid w:val="002D0657"/>
    <w:rsid w:val="002D74B4"/>
    <w:rsid w:val="002E4B8E"/>
    <w:rsid w:val="002F5A64"/>
    <w:rsid w:val="00301362"/>
    <w:rsid w:val="00302BB4"/>
    <w:rsid w:val="00313717"/>
    <w:rsid w:val="003158B5"/>
    <w:rsid w:val="00315E73"/>
    <w:rsid w:val="00323964"/>
    <w:rsid w:val="003266D2"/>
    <w:rsid w:val="003274CD"/>
    <w:rsid w:val="00332A01"/>
    <w:rsid w:val="00335AD9"/>
    <w:rsid w:val="00335C9D"/>
    <w:rsid w:val="00335F58"/>
    <w:rsid w:val="003442A8"/>
    <w:rsid w:val="00345C55"/>
    <w:rsid w:val="00346D36"/>
    <w:rsid w:val="00351E9C"/>
    <w:rsid w:val="00361490"/>
    <w:rsid w:val="00362102"/>
    <w:rsid w:val="003664D7"/>
    <w:rsid w:val="00367D02"/>
    <w:rsid w:val="00370901"/>
    <w:rsid w:val="00375095"/>
    <w:rsid w:val="0037759A"/>
    <w:rsid w:val="0038174C"/>
    <w:rsid w:val="0038781F"/>
    <w:rsid w:val="003919D1"/>
    <w:rsid w:val="0039267A"/>
    <w:rsid w:val="00394015"/>
    <w:rsid w:val="003962C6"/>
    <w:rsid w:val="003A7C37"/>
    <w:rsid w:val="003B169E"/>
    <w:rsid w:val="003B4079"/>
    <w:rsid w:val="003B455D"/>
    <w:rsid w:val="003B4813"/>
    <w:rsid w:val="003B77BE"/>
    <w:rsid w:val="003C371F"/>
    <w:rsid w:val="003C63B4"/>
    <w:rsid w:val="003C643A"/>
    <w:rsid w:val="003D0B73"/>
    <w:rsid w:val="003D20F3"/>
    <w:rsid w:val="003D2549"/>
    <w:rsid w:val="003E4F04"/>
    <w:rsid w:val="0040073C"/>
    <w:rsid w:val="00410A78"/>
    <w:rsid w:val="0041438D"/>
    <w:rsid w:val="0042006E"/>
    <w:rsid w:val="004202E0"/>
    <w:rsid w:val="00425144"/>
    <w:rsid w:val="004253DE"/>
    <w:rsid w:val="00427F51"/>
    <w:rsid w:val="004342C8"/>
    <w:rsid w:val="00440591"/>
    <w:rsid w:val="004407D4"/>
    <w:rsid w:val="0044313F"/>
    <w:rsid w:val="00444DBE"/>
    <w:rsid w:val="0045065D"/>
    <w:rsid w:val="00454EC5"/>
    <w:rsid w:val="00457134"/>
    <w:rsid w:val="004638CE"/>
    <w:rsid w:val="00476C45"/>
    <w:rsid w:val="00477B9B"/>
    <w:rsid w:val="0048028C"/>
    <w:rsid w:val="00485572"/>
    <w:rsid w:val="004A10AD"/>
    <w:rsid w:val="004A17DF"/>
    <w:rsid w:val="004A2781"/>
    <w:rsid w:val="004A41F9"/>
    <w:rsid w:val="004C2F9D"/>
    <w:rsid w:val="004C3D90"/>
    <w:rsid w:val="004C4DFE"/>
    <w:rsid w:val="004C5E0D"/>
    <w:rsid w:val="004D00F0"/>
    <w:rsid w:val="004D7D1E"/>
    <w:rsid w:val="004E2376"/>
    <w:rsid w:val="004E58D6"/>
    <w:rsid w:val="004E6941"/>
    <w:rsid w:val="004F5BA9"/>
    <w:rsid w:val="004F6C52"/>
    <w:rsid w:val="004F6F2E"/>
    <w:rsid w:val="00500CEB"/>
    <w:rsid w:val="005027A1"/>
    <w:rsid w:val="00523428"/>
    <w:rsid w:val="00533234"/>
    <w:rsid w:val="00533247"/>
    <w:rsid w:val="0054009D"/>
    <w:rsid w:val="00545B80"/>
    <w:rsid w:val="00547D17"/>
    <w:rsid w:val="00551E99"/>
    <w:rsid w:val="00561675"/>
    <w:rsid w:val="00571542"/>
    <w:rsid w:val="00571CBE"/>
    <w:rsid w:val="0057540B"/>
    <w:rsid w:val="0057794B"/>
    <w:rsid w:val="00580B82"/>
    <w:rsid w:val="00585D99"/>
    <w:rsid w:val="005903D5"/>
    <w:rsid w:val="00592BB0"/>
    <w:rsid w:val="005934CD"/>
    <w:rsid w:val="00596234"/>
    <w:rsid w:val="005A34CD"/>
    <w:rsid w:val="005A74E7"/>
    <w:rsid w:val="005B3782"/>
    <w:rsid w:val="005B6967"/>
    <w:rsid w:val="005B6AD6"/>
    <w:rsid w:val="005B6CA2"/>
    <w:rsid w:val="005C21B3"/>
    <w:rsid w:val="005C4C6A"/>
    <w:rsid w:val="005D76EE"/>
    <w:rsid w:val="005E19DD"/>
    <w:rsid w:val="005E4F14"/>
    <w:rsid w:val="005E62A0"/>
    <w:rsid w:val="005F404F"/>
    <w:rsid w:val="00603E7F"/>
    <w:rsid w:val="00603EFA"/>
    <w:rsid w:val="006051AE"/>
    <w:rsid w:val="00605BA8"/>
    <w:rsid w:val="00621DBF"/>
    <w:rsid w:val="00623573"/>
    <w:rsid w:val="00625945"/>
    <w:rsid w:val="00630B55"/>
    <w:rsid w:val="00635BF5"/>
    <w:rsid w:val="006433FF"/>
    <w:rsid w:val="00651926"/>
    <w:rsid w:val="006560B2"/>
    <w:rsid w:val="006570F2"/>
    <w:rsid w:val="006616B0"/>
    <w:rsid w:val="006632D9"/>
    <w:rsid w:val="006648FE"/>
    <w:rsid w:val="0067170D"/>
    <w:rsid w:val="006907DD"/>
    <w:rsid w:val="006946F7"/>
    <w:rsid w:val="0069633D"/>
    <w:rsid w:val="006A23C7"/>
    <w:rsid w:val="006B5A3B"/>
    <w:rsid w:val="006C7A6B"/>
    <w:rsid w:val="006D42D8"/>
    <w:rsid w:val="006D4572"/>
    <w:rsid w:val="006D744B"/>
    <w:rsid w:val="006D7D62"/>
    <w:rsid w:val="006E1E9A"/>
    <w:rsid w:val="006E2A71"/>
    <w:rsid w:val="006E66F9"/>
    <w:rsid w:val="006F2985"/>
    <w:rsid w:val="006F6FFE"/>
    <w:rsid w:val="007016AC"/>
    <w:rsid w:val="00706C76"/>
    <w:rsid w:val="00710BA6"/>
    <w:rsid w:val="00713A75"/>
    <w:rsid w:val="00715772"/>
    <w:rsid w:val="00730831"/>
    <w:rsid w:val="00731637"/>
    <w:rsid w:val="007349CB"/>
    <w:rsid w:val="0073606E"/>
    <w:rsid w:val="00740030"/>
    <w:rsid w:val="00753693"/>
    <w:rsid w:val="00761103"/>
    <w:rsid w:val="0076494A"/>
    <w:rsid w:val="00771F37"/>
    <w:rsid w:val="00776C2D"/>
    <w:rsid w:val="00782FB4"/>
    <w:rsid w:val="007836D0"/>
    <w:rsid w:val="00783A6E"/>
    <w:rsid w:val="007856A3"/>
    <w:rsid w:val="007861A8"/>
    <w:rsid w:val="00787AE2"/>
    <w:rsid w:val="00791248"/>
    <w:rsid w:val="00791CCD"/>
    <w:rsid w:val="007930CA"/>
    <w:rsid w:val="00793856"/>
    <w:rsid w:val="007B5A55"/>
    <w:rsid w:val="007B64F9"/>
    <w:rsid w:val="007C5D16"/>
    <w:rsid w:val="007D4AEF"/>
    <w:rsid w:val="007E1BC9"/>
    <w:rsid w:val="007E5663"/>
    <w:rsid w:val="007E683B"/>
    <w:rsid w:val="007F03A9"/>
    <w:rsid w:val="007F7316"/>
    <w:rsid w:val="00800AFA"/>
    <w:rsid w:val="00802930"/>
    <w:rsid w:val="008122C1"/>
    <w:rsid w:val="00813712"/>
    <w:rsid w:val="0081498C"/>
    <w:rsid w:val="00815700"/>
    <w:rsid w:val="00815926"/>
    <w:rsid w:val="00815DC9"/>
    <w:rsid w:val="00817AE9"/>
    <w:rsid w:val="008208EE"/>
    <w:rsid w:val="0082451E"/>
    <w:rsid w:val="00831C38"/>
    <w:rsid w:val="00833521"/>
    <w:rsid w:val="008338F1"/>
    <w:rsid w:val="00833C20"/>
    <w:rsid w:val="00834120"/>
    <w:rsid w:val="008368B4"/>
    <w:rsid w:val="008429E1"/>
    <w:rsid w:val="008466C0"/>
    <w:rsid w:val="0085471C"/>
    <w:rsid w:val="00856187"/>
    <w:rsid w:val="008641A4"/>
    <w:rsid w:val="00867C1D"/>
    <w:rsid w:val="00876105"/>
    <w:rsid w:val="00881D22"/>
    <w:rsid w:val="0088502E"/>
    <w:rsid w:val="0088765D"/>
    <w:rsid w:val="00887B7D"/>
    <w:rsid w:val="00890A87"/>
    <w:rsid w:val="008916D2"/>
    <w:rsid w:val="00894AF1"/>
    <w:rsid w:val="00894BEC"/>
    <w:rsid w:val="00894EC2"/>
    <w:rsid w:val="008A0D23"/>
    <w:rsid w:val="008A49F1"/>
    <w:rsid w:val="008A6804"/>
    <w:rsid w:val="008B13E6"/>
    <w:rsid w:val="008B4301"/>
    <w:rsid w:val="008C49F8"/>
    <w:rsid w:val="008C5DB8"/>
    <w:rsid w:val="008C5EED"/>
    <w:rsid w:val="008D25CD"/>
    <w:rsid w:val="008D4045"/>
    <w:rsid w:val="008D4CBD"/>
    <w:rsid w:val="008D59EA"/>
    <w:rsid w:val="008D67EB"/>
    <w:rsid w:val="008D783D"/>
    <w:rsid w:val="008E05B1"/>
    <w:rsid w:val="008E2844"/>
    <w:rsid w:val="008E33E5"/>
    <w:rsid w:val="008E3E5E"/>
    <w:rsid w:val="008E4196"/>
    <w:rsid w:val="008F06B2"/>
    <w:rsid w:val="008F1B84"/>
    <w:rsid w:val="008F3B43"/>
    <w:rsid w:val="008F7F6C"/>
    <w:rsid w:val="00906415"/>
    <w:rsid w:val="00914CC5"/>
    <w:rsid w:val="00916740"/>
    <w:rsid w:val="0092478B"/>
    <w:rsid w:val="00926F82"/>
    <w:rsid w:val="00932A09"/>
    <w:rsid w:val="00934344"/>
    <w:rsid w:val="00937D1F"/>
    <w:rsid w:val="00941E65"/>
    <w:rsid w:val="00955A18"/>
    <w:rsid w:val="00970CFA"/>
    <w:rsid w:val="009713D4"/>
    <w:rsid w:val="009858E8"/>
    <w:rsid w:val="009865E7"/>
    <w:rsid w:val="009A4B84"/>
    <w:rsid w:val="009A7759"/>
    <w:rsid w:val="009B1684"/>
    <w:rsid w:val="009B2322"/>
    <w:rsid w:val="009B3FF4"/>
    <w:rsid w:val="009C7B20"/>
    <w:rsid w:val="009D40A3"/>
    <w:rsid w:val="009D6056"/>
    <w:rsid w:val="009D7D0C"/>
    <w:rsid w:val="009E3E2C"/>
    <w:rsid w:val="00A00CB0"/>
    <w:rsid w:val="00A04BA8"/>
    <w:rsid w:val="00A21ED3"/>
    <w:rsid w:val="00A232EA"/>
    <w:rsid w:val="00A2474D"/>
    <w:rsid w:val="00A35964"/>
    <w:rsid w:val="00A371B5"/>
    <w:rsid w:val="00A41829"/>
    <w:rsid w:val="00A44F9B"/>
    <w:rsid w:val="00A50145"/>
    <w:rsid w:val="00A54206"/>
    <w:rsid w:val="00A559B1"/>
    <w:rsid w:val="00A66A3F"/>
    <w:rsid w:val="00A70375"/>
    <w:rsid w:val="00A730F0"/>
    <w:rsid w:val="00A752EA"/>
    <w:rsid w:val="00A7549B"/>
    <w:rsid w:val="00A75E60"/>
    <w:rsid w:val="00A77881"/>
    <w:rsid w:val="00A84802"/>
    <w:rsid w:val="00A87706"/>
    <w:rsid w:val="00A92505"/>
    <w:rsid w:val="00AA107E"/>
    <w:rsid w:val="00AA79FF"/>
    <w:rsid w:val="00AB7C50"/>
    <w:rsid w:val="00AC478B"/>
    <w:rsid w:val="00AC5FBA"/>
    <w:rsid w:val="00AC7DA1"/>
    <w:rsid w:val="00AD0097"/>
    <w:rsid w:val="00AD01F0"/>
    <w:rsid w:val="00AD108C"/>
    <w:rsid w:val="00AD18A8"/>
    <w:rsid w:val="00AD2F79"/>
    <w:rsid w:val="00AD354C"/>
    <w:rsid w:val="00AD3A82"/>
    <w:rsid w:val="00AE2A13"/>
    <w:rsid w:val="00AE46E7"/>
    <w:rsid w:val="00AE4759"/>
    <w:rsid w:val="00AF070F"/>
    <w:rsid w:val="00AF279B"/>
    <w:rsid w:val="00AF4EFC"/>
    <w:rsid w:val="00AF60CD"/>
    <w:rsid w:val="00B00EC4"/>
    <w:rsid w:val="00B05523"/>
    <w:rsid w:val="00B07E0F"/>
    <w:rsid w:val="00B1162D"/>
    <w:rsid w:val="00B15758"/>
    <w:rsid w:val="00B20F60"/>
    <w:rsid w:val="00B2392C"/>
    <w:rsid w:val="00B264C2"/>
    <w:rsid w:val="00B32707"/>
    <w:rsid w:val="00B34C55"/>
    <w:rsid w:val="00B35C93"/>
    <w:rsid w:val="00B35CDE"/>
    <w:rsid w:val="00B450C4"/>
    <w:rsid w:val="00B46DA5"/>
    <w:rsid w:val="00B511D6"/>
    <w:rsid w:val="00B549A1"/>
    <w:rsid w:val="00B5703F"/>
    <w:rsid w:val="00B61A43"/>
    <w:rsid w:val="00B631AF"/>
    <w:rsid w:val="00B66737"/>
    <w:rsid w:val="00B669C1"/>
    <w:rsid w:val="00B70685"/>
    <w:rsid w:val="00B72BA2"/>
    <w:rsid w:val="00B73AAF"/>
    <w:rsid w:val="00B74792"/>
    <w:rsid w:val="00B7550C"/>
    <w:rsid w:val="00B80162"/>
    <w:rsid w:val="00B82C51"/>
    <w:rsid w:val="00B8503B"/>
    <w:rsid w:val="00B90A2F"/>
    <w:rsid w:val="00B93C83"/>
    <w:rsid w:val="00B94807"/>
    <w:rsid w:val="00B94EE5"/>
    <w:rsid w:val="00B95436"/>
    <w:rsid w:val="00B95687"/>
    <w:rsid w:val="00B968D5"/>
    <w:rsid w:val="00B96D4E"/>
    <w:rsid w:val="00BA0F46"/>
    <w:rsid w:val="00BA454B"/>
    <w:rsid w:val="00BA51EE"/>
    <w:rsid w:val="00BB04E0"/>
    <w:rsid w:val="00BB1170"/>
    <w:rsid w:val="00BB2152"/>
    <w:rsid w:val="00BB256B"/>
    <w:rsid w:val="00BB3B06"/>
    <w:rsid w:val="00BB5791"/>
    <w:rsid w:val="00BB5C20"/>
    <w:rsid w:val="00BB6643"/>
    <w:rsid w:val="00BC31F6"/>
    <w:rsid w:val="00BC3227"/>
    <w:rsid w:val="00BC3337"/>
    <w:rsid w:val="00BC4169"/>
    <w:rsid w:val="00BC622F"/>
    <w:rsid w:val="00BD245F"/>
    <w:rsid w:val="00BD319D"/>
    <w:rsid w:val="00BD355D"/>
    <w:rsid w:val="00BD51C7"/>
    <w:rsid w:val="00BD5379"/>
    <w:rsid w:val="00BD5A28"/>
    <w:rsid w:val="00BD60D4"/>
    <w:rsid w:val="00BD6E34"/>
    <w:rsid w:val="00BE2CE3"/>
    <w:rsid w:val="00BE40EF"/>
    <w:rsid w:val="00BE47BE"/>
    <w:rsid w:val="00BF7635"/>
    <w:rsid w:val="00C03265"/>
    <w:rsid w:val="00C06F0C"/>
    <w:rsid w:val="00C06F14"/>
    <w:rsid w:val="00C07F5D"/>
    <w:rsid w:val="00C100C9"/>
    <w:rsid w:val="00C1486C"/>
    <w:rsid w:val="00C2153A"/>
    <w:rsid w:val="00C2421E"/>
    <w:rsid w:val="00C2452C"/>
    <w:rsid w:val="00C2582A"/>
    <w:rsid w:val="00C30467"/>
    <w:rsid w:val="00C33EB6"/>
    <w:rsid w:val="00C35973"/>
    <w:rsid w:val="00C37E75"/>
    <w:rsid w:val="00C4049D"/>
    <w:rsid w:val="00C46159"/>
    <w:rsid w:val="00C46B58"/>
    <w:rsid w:val="00C552EA"/>
    <w:rsid w:val="00C7144A"/>
    <w:rsid w:val="00C73F85"/>
    <w:rsid w:val="00C74A6F"/>
    <w:rsid w:val="00C765E2"/>
    <w:rsid w:val="00C81605"/>
    <w:rsid w:val="00C829AB"/>
    <w:rsid w:val="00C8390A"/>
    <w:rsid w:val="00C84200"/>
    <w:rsid w:val="00C8569C"/>
    <w:rsid w:val="00C85F5C"/>
    <w:rsid w:val="00C9102F"/>
    <w:rsid w:val="00C93B17"/>
    <w:rsid w:val="00CA1210"/>
    <w:rsid w:val="00CA173C"/>
    <w:rsid w:val="00CA4BB9"/>
    <w:rsid w:val="00CA6F24"/>
    <w:rsid w:val="00CB003E"/>
    <w:rsid w:val="00CB11D9"/>
    <w:rsid w:val="00CB21CA"/>
    <w:rsid w:val="00CB4668"/>
    <w:rsid w:val="00CB6167"/>
    <w:rsid w:val="00CD53BC"/>
    <w:rsid w:val="00CD6B2A"/>
    <w:rsid w:val="00CE1D4D"/>
    <w:rsid w:val="00CE41E4"/>
    <w:rsid w:val="00CE4EEB"/>
    <w:rsid w:val="00CE5AE1"/>
    <w:rsid w:val="00CF1CE4"/>
    <w:rsid w:val="00CF25FE"/>
    <w:rsid w:val="00CF2832"/>
    <w:rsid w:val="00CF4C04"/>
    <w:rsid w:val="00D06210"/>
    <w:rsid w:val="00D10826"/>
    <w:rsid w:val="00D15B49"/>
    <w:rsid w:val="00D354B4"/>
    <w:rsid w:val="00D35E50"/>
    <w:rsid w:val="00D37826"/>
    <w:rsid w:val="00D41ECD"/>
    <w:rsid w:val="00D445D6"/>
    <w:rsid w:val="00D450AE"/>
    <w:rsid w:val="00D456A0"/>
    <w:rsid w:val="00D46972"/>
    <w:rsid w:val="00D46DD5"/>
    <w:rsid w:val="00D505CC"/>
    <w:rsid w:val="00D609BE"/>
    <w:rsid w:val="00D64480"/>
    <w:rsid w:val="00D65AD0"/>
    <w:rsid w:val="00D70AE2"/>
    <w:rsid w:val="00D75014"/>
    <w:rsid w:val="00D77B49"/>
    <w:rsid w:val="00D814DB"/>
    <w:rsid w:val="00D8220E"/>
    <w:rsid w:val="00D873AC"/>
    <w:rsid w:val="00D9076E"/>
    <w:rsid w:val="00D9253D"/>
    <w:rsid w:val="00D94A07"/>
    <w:rsid w:val="00D97443"/>
    <w:rsid w:val="00DA0220"/>
    <w:rsid w:val="00DA152D"/>
    <w:rsid w:val="00DA5DB0"/>
    <w:rsid w:val="00DA65F2"/>
    <w:rsid w:val="00DB0118"/>
    <w:rsid w:val="00DB68D4"/>
    <w:rsid w:val="00DC5230"/>
    <w:rsid w:val="00DC625B"/>
    <w:rsid w:val="00DC66DB"/>
    <w:rsid w:val="00DD37C2"/>
    <w:rsid w:val="00DD5C61"/>
    <w:rsid w:val="00DD5E6D"/>
    <w:rsid w:val="00DE2641"/>
    <w:rsid w:val="00DE430F"/>
    <w:rsid w:val="00DE4FEB"/>
    <w:rsid w:val="00DF1A70"/>
    <w:rsid w:val="00DF36EA"/>
    <w:rsid w:val="00DF5634"/>
    <w:rsid w:val="00E034B4"/>
    <w:rsid w:val="00E03BC7"/>
    <w:rsid w:val="00E041D8"/>
    <w:rsid w:val="00E045C5"/>
    <w:rsid w:val="00E073FF"/>
    <w:rsid w:val="00E1785A"/>
    <w:rsid w:val="00E21448"/>
    <w:rsid w:val="00E21AD3"/>
    <w:rsid w:val="00E22EFA"/>
    <w:rsid w:val="00E23EB0"/>
    <w:rsid w:val="00E25485"/>
    <w:rsid w:val="00E26B84"/>
    <w:rsid w:val="00E30826"/>
    <w:rsid w:val="00E30DC1"/>
    <w:rsid w:val="00E3445A"/>
    <w:rsid w:val="00E35BED"/>
    <w:rsid w:val="00E36FB3"/>
    <w:rsid w:val="00E3739A"/>
    <w:rsid w:val="00E42D39"/>
    <w:rsid w:val="00E43772"/>
    <w:rsid w:val="00E450E8"/>
    <w:rsid w:val="00E52EF6"/>
    <w:rsid w:val="00E54460"/>
    <w:rsid w:val="00E54A72"/>
    <w:rsid w:val="00E57E5B"/>
    <w:rsid w:val="00E83C69"/>
    <w:rsid w:val="00E83F43"/>
    <w:rsid w:val="00E85D16"/>
    <w:rsid w:val="00E865B0"/>
    <w:rsid w:val="00E865B8"/>
    <w:rsid w:val="00E87485"/>
    <w:rsid w:val="00E87CDD"/>
    <w:rsid w:val="00E90A2C"/>
    <w:rsid w:val="00E919FC"/>
    <w:rsid w:val="00E91E22"/>
    <w:rsid w:val="00E92E9D"/>
    <w:rsid w:val="00E932FA"/>
    <w:rsid w:val="00E9449E"/>
    <w:rsid w:val="00E97B5C"/>
    <w:rsid w:val="00EA515C"/>
    <w:rsid w:val="00EA6EED"/>
    <w:rsid w:val="00EB233B"/>
    <w:rsid w:val="00EB24B7"/>
    <w:rsid w:val="00EB3142"/>
    <w:rsid w:val="00EC1C8A"/>
    <w:rsid w:val="00EC5720"/>
    <w:rsid w:val="00EC578A"/>
    <w:rsid w:val="00ED0D6D"/>
    <w:rsid w:val="00ED1ABD"/>
    <w:rsid w:val="00ED44F3"/>
    <w:rsid w:val="00ED6800"/>
    <w:rsid w:val="00ED6A48"/>
    <w:rsid w:val="00EE35D5"/>
    <w:rsid w:val="00EF2DDF"/>
    <w:rsid w:val="00EF57CF"/>
    <w:rsid w:val="00EF6280"/>
    <w:rsid w:val="00EF65D8"/>
    <w:rsid w:val="00F009E9"/>
    <w:rsid w:val="00F0574E"/>
    <w:rsid w:val="00F067C9"/>
    <w:rsid w:val="00F114C8"/>
    <w:rsid w:val="00F2038F"/>
    <w:rsid w:val="00F210C5"/>
    <w:rsid w:val="00F243D9"/>
    <w:rsid w:val="00F24DD8"/>
    <w:rsid w:val="00F271E4"/>
    <w:rsid w:val="00F276D5"/>
    <w:rsid w:val="00F30DBF"/>
    <w:rsid w:val="00F3700F"/>
    <w:rsid w:val="00F510B1"/>
    <w:rsid w:val="00F5259C"/>
    <w:rsid w:val="00F54B95"/>
    <w:rsid w:val="00F624A0"/>
    <w:rsid w:val="00F63272"/>
    <w:rsid w:val="00F67DA6"/>
    <w:rsid w:val="00F705C4"/>
    <w:rsid w:val="00F7065D"/>
    <w:rsid w:val="00F71B9F"/>
    <w:rsid w:val="00F71F9A"/>
    <w:rsid w:val="00F73CA7"/>
    <w:rsid w:val="00F75878"/>
    <w:rsid w:val="00F76A35"/>
    <w:rsid w:val="00F83652"/>
    <w:rsid w:val="00F84405"/>
    <w:rsid w:val="00F86C06"/>
    <w:rsid w:val="00F91C14"/>
    <w:rsid w:val="00FA0180"/>
    <w:rsid w:val="00FA185F"/>
    <w:rsid w:val="00FA2C51"/>
    <w:rsid w:val="00FA2D03"/>
    <w:rsid w:val="00FB561F"/>
    <w:rsid w:val="00FB68C1"/>
    <w:rsid w:val="00FB7F52"/>
    <w:rsid w:val="00FC0D5B"/>
    <w:rsid w:val="00FC4536"/>
    <w:rsid w:val="00FC45A0"/>
    <w:rsid w:val="00FC56FD"/>
    <w:rsid w:val="00FD075A"/>
    <w:rsid w:val="00FD19A6"/>
    <w:rsid w:val="00FD3982"/>
    <w:rsid w:val="00FE0266"/>
    <w:rsid w:val="00FE4B91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ED4DF"/>
  <w15:docId w15:val="{C60387B9-34EB-B34C-BC3E-22A00F8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E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74CD"/>
    <w:pPr>
      <w:keepNext/>
      <w:jc w:val="center"/>
      <w:outlineLvl w:val="1"/>
    </w:pPr>
    <w:rPr>
      <w:rFonts w:ascii="Futura" w:eastAsia="Cambria" w:hAnsi="Futura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274CD"/>
    <w:rPr>
      <w:rFonts w:ascii="Futura" w:eastAsia="Times New Roman" w:hAnsi="Futura" w:cs="Times New Roman"/>
      <w:b/>
      <w:sz w:val="20"/>
      <w:szCs w:val="20"/>
    </w:rPr>
  </w:style>
  <w:style w:type="character" w:styleId="Hyperlink">
    <w:name w:val="Hyperlink"/>
    <w:uiPriority w:val="99"/>
    <w:rsid w:val="00191F8E"/>
    <w:rPr>
      <w:rFonts w:cs="Times New Roman"/>
      <w:color w:val="0000FF"/>
      <w:u w:val="single"/>
    </w:rPr>
  </w:style>
  <w:style w:type="character" w:customStyle="1" w:styleId="style10">
    <w:name w:val="style10"/>
    <w:rsid w:val="00335C9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274CD"/>
    <w:pPr>
      <w:ind w:right="-270"/>
    </w:pPr>
    <w:rPr>
      <w:rFonts w:eastAsia="Cambria"/>
      <w:color w:val="000000"/>
      <w:szCs w:val="20"/>
    </w:rPr>
  </w:style>
  <w:style w:type="character" w:customStyle="1" w:styleId="BodyText2Char">
    <w:name w:val="Body Text 2 Char"/>
    <w:link w:val="BodyText2"/>
    <w:uiPriority w:val="99"/>
    <w:locked/>
    <w:rsid w:val="003274C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E66F9"/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E66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606E"/>
    <w:pPr>
      <w:spacing w:after="120"/>
    </w:pPr>
    <w:rPr>
      <w:rFonts w:eastAsia="Cambria"/>
      <w:sz w:val="22"/>
    </w:rPr>
  </w:style>
  <w:style w:type="character" w:customStyle="1" w:styleId="BodyTextChar">
    <w:name w:val="Body Text Char"/>
    <w:link w:val="BodyText"/>
    <w:rsid w:val="0073606E"/>
    <w:rPr>
      <w:rFonts w:ascii="Times New Roman" w:hAnsi="Times New Roman"/>
      <w:szCs w:val="24"/>
    </w:rPr>
  </w:style>
  <w:style w:type="character" w:customStyle="1" w:styleId="style2">
    <w:name w:val="style2"/>
    <w:basedOn w:val="DefaultParagraphFont"/>
    <w:rsid w:val="00ED44F3"/>
  </w:style>
  <w:style w:type="character" w:customStyle="1" w:styleId="st">
    <w:name w:val="st"/>
    <w:basedOn w:val="DefaultParagraphFont"/>
    <w:rsid w:val="00ED44F3"/>
  </w:style>
  <w:style w:type="paragraph" w:styleId="NormalWeb">
    <w:name w:val="Normal (Web)"/>
    <w:basedOn w:val="Normal"/>
    <w:uiPriority w:val="99"/>
    <w:unhideWhenUsed/>
    <w:rsid w:val="00F71B9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Strong">
    <w:name w:val="Strong"/>
    <w:uiPriority w:val="22"/>
    <w:qFormat/>
    <w:rsid w:val="00F71B9F"/>
    <w:rPr>
      <w:b/>
      <w:bCs/>
    </w:rPr>
  </w:style>
  <w:style w:type="character" w:styleId="CommentReference">
    <w:name w:val="annotation reference"/>
    <w:uiPriority w:val="99"/>
    <w:semiHidden/>
    <w:unhideWhenUsed/>
    <w:rsid w:val="0005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D4"/>
    <w:rPr>
      <w:rFonts w:eastAsia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34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4D4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uiPriority w:val="20"/>
    <w:qFormat/>
    <w:rsid w:val="00DB68D4"/>
    <w:rPr>
      <w:i/>
      <w:iCs/>
    </w:rPr>
  </w:style>
  <w:style w:type="paragraph" w:styleId="ListParagraph">
    <w:name w:val="List Paragraph"/>
    <w:basedOn w:val="Normal"/>
    <w:uiPriority w:val="34"/>
    <w:qFormat/>
    <w:rsid w:val="00BE40EF"/>
    <w:pPr>
      <w:ind w:left="720"/>
      <w:contextualSpacing/>
    </w:pPr>
    <w:rPr>
      <w:rFonts w:ascii="Cambria" w:eastAsia="MS Mincho" w:hAnsi="Cambria"/>
      <w:lang w:eastAsia="ja-JP"/>
    </w:rPr>
  </w:style>
  <w:style w:type="character" w:customStyle="1" w:styleId="s1">
    <w:name w:val="s1"/>
    <w:basedOn w:val="DefaultParagraphFont"/>
    <w:rsid w:val="00BE40EF"/>
  </w:style>
  <w:style w:type="paragraph" w:customStyle="1" w:styleId="Normal1">
    <w:name w:val="Normal1"/>
    <w:rsid w:val="00A00CB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906415"/>
    <w:pPr>
      <w:tabs>
        <w:tab w:val="center" w:pos="4320"/>
        <w:tab w:val="right" w:pos="8640"/>
      </w:tabs>
    </w:pPr>
    <w:rPr>
      <w:rFonts w:eastAsia="Cambri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6415"/>
    <w:rPr>
      <w:rFonts w:ascii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415"/>
    <w:pPr>
      <w:tabs>
        <w:tab w:val="center" w:pos="4320"/>
        <w:tab w:val="right" w:pos="8640"/>
      </w:tabs>
    </w:pPr>
    <w:rPr>
      <w:rFonts w:eastAsia="Cambria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6415"/>
    <w:rPr>
      <w:rFonts w:ascii="Times New Roman" w:hAnsi="Times New Roman"/>
      <w:sz w:val="22"/>
      <w:szCs w:val="24"/>
    </w:rPr>
  </w:style>
  <w:style w:type="character" w:customStyle="1" w:styleId="xbe">
    <w:name w:val="_xbe"/>
    <w:basedOn w:val="DefaultParagraphFont"/>
    <w:rsid w:val="005B6CA2"/>
  </w:style>
  <w:style w:type="character" w:customStyle="1" w:styleId="tgc">
    <w:name w:val="_tgc"/>
    <w:basedOn w:val="DefaultParagraphFont"/>
    <w:rsid w:val="00761103"/>
  </w:style>
  <w:style w:type="character" w:customStyle="1" w:styleId="street-address">
    <w:name w:val="street-address"/>
    <w:rsid w:val="00761103"/>
  </w:style>
  <w:style w:type="character" w:styleId="FollowedHyperlink">
    <w:name w:val="FollowedHyperlink"/>
    <w:basedOn w:val="DefaultParagraphFont"/>
    <w:uiPriority w:val="99"/>
    <w:semiHidden/>
    <w:unhideWhenUsed/>
    <w:rsid w:val="00A3596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7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37D1F"/>
  </w:style>
  <w:style w:type="paragraph" w:customStyle="1" w:styleId="wp-caption-text">
    <w:name w:val="wp-caption-text"/>
    <w:basedOn w:val="Normal"/>
    <w:rsid w:val="003C63B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3573"/>
    <w:rPr>
      <w:color w:val="605E5C"/>
      <w:shd w:val="clear" w:color="auto" w:fill="E1DFDD"/>
    </w:rPr>
  </w:style>
  <w:style w:type="character" w:customStyle="1" w:styleId="A1">
    <w:name w:val="A1"/>
    <w:uiPriority w:val="99"/>
    <w:rsid w:val="00BD245F"/>
    <w:rPr>
      <w:color w:val="221E1F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70901"/>
    <w:rPr>
      <w:color w:val="605E5C"/>
      <w:shd w:val="clear" w:color="auto" w:fill="E1DFDD"/>
    </w:rPr>
  </w:style>
  <w:style w:type="paragraph" w:customStyle="1" w:styleId="inline">
    <w:name w:val="inline"/>
    <w:basedOn w:val="Normal"/>
    <w:rsid w:val="00A41829"/>
    <w:pPr>
      <w:spacing w:before="100" w:beforeAutospacing="1" w:after="100" w:afterAutospacing="1"/>
    </w:pPr>
  </w:style>
  <w:style w:type="character" w:customStyle="1" w:styleId="visually-hidden">
    <w:name w:val="visually-hidden"/>
    <w:basedOn w:val="DefaultParagraphFont"/>
    <w:rsid w:val="00A41829"/>
  </w:style>
  <w:style w:type="character" w:customStyle="1" w:styleId="hbvzbc">
    <w:name w:val="hbvzbc"/>
    <w:basedOn w:val="DefaultParagraphFont"/>
    <w:rsid w:val="00FC56FD"/>
  </w:style>
  <w:style w:type="character" w:styleId="UnresolvedMention">
    <w:name w:val="Unresolved Mention"/>
    <w:basedOn w:val="DefaultParagraphFont"/>
    <w:uiPriority w:val="99"/>
    <w:semiHidden/>
    <w:unhideWhenUsed/>
    <w:rsid w:val="001B2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giaonlin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a.org" TargetMode="External"/><Relationship Id="rId17" Type="http://schemas.openxmlformats.org/officeDocument/2006/relationships/hyperlink" Target="https://linete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o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odiz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gbc.org" TargetMode="External"/><Relationship Id="rId10" Type="http://schemas.openxmlformats.org/officeDocument/2006/relationships/hyperlink" Target="http://www.line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netec.com/specialty-finishes/wood-grain/" TargetMode="External"/><Relationship Id="rId14" Type="http://schemas.openxmlformats.org/officeDocument/2006/relationships/hyperlink" Target="https://www.gla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CEE7-A4C1-46A2-9A5D-88792F36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3310</CharactersWithSpaces>
  <SharedDoc>false</SharedDoc>
  <HLinks>
    <vt:vector size="60" baseType="variant">
      <vt:variant>
        <vt:i4>7340123</vt:i4>
      </vt:variant>
      <vt:variant>
        <vt:i4>27</vt:i4>
      </vt:variant>
      <vt:variant>
        <vt:i4>0</vt:i4>
      </vt:variant>
      <vt:variant>
        <vt:i4>5</vt:i4>
      </vt:variant>
      <vt:variant>
        <vt:lpwstr>http://www.wdma.com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http://www.usgbc.org</vt:lpwstr>
      </vt:variant>
      <vt:variant>
        <vt:lpwstr/>
      </vt:variant>
      <vt:variant>
        <vt:i4>5374040</vt:i4>
      </vt:variant>
      <vt:variant>
        <vt:i4>21</vt:i4>
      </vt:variant>
      <vt:variant>
        <vt:i4>0</vt:i4>
      </vt:variant>
      <vt:variant>
        <vt:i4>5</vt:i4>
      </vt:variant>
      <vt:variant>
        <vt:lpwstr>http://www.glasswebsite.com/</vt:lpwstr>
      </vt:variant>
      <vt:variant>
        <vt:lpwstr/>
      </vt:variant>
      <vt:variant>
        <vt:i4>7929949</vt:i4>
      </vt:variant>
      <vt:variant>
        <vt:i4>18</vt:i4>
      </vt:variant>
      <vt:variant>
        <vt:i4>0</vt:i4>
      </vt:variant>
      <vt:variant>
        <vt:i4>5</vt:i4>
      </vt:variant>
      <vt:variant>
        <vt:lpwstr>http://www.alatoday.org</vt:lpwstr>
      </vt:variant>
      <vt:variant>
        <vt:lpwstr/>
      </vt:variant>
      <vt:variant>
        <vt:i4>2293861</vt:i4>
      </vt:variant>
      <vt:variant>
        <vt:i4>15</vt:i4>
      </vt:variant>
      <vt:variant>
        <vt:i4>0</vt:i4>
      </vt:variant>
      <vt:variant>
        <vt:i4>5</vt:i4>
      </vt:variant>
      <vt:variant>
        <vt:lpwstr>http://www.aia.org</vt:lpwstr>
      </vt:variant>
      <vt:variant>
        <vt:lpwstr/>
      </vt:variant>
      <vt:variant>
        <vt:i4>3473513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</vt:lpwstr>
      </vt:variant>
      <vt:variant>
        <vt:lpwstr/>
      </vt:variant>
      <vt:variant>
        <vt:i4>4849682</vt:i4>
      </vt:variant>
      <vt:variant>
        <vt:i4>9</vt:i4>
      </vt:variant>
      <vt:variant>
        <vt:i4>0</vt:i4>
      </vt:variant>
      <vt:variant>
        <vt:i4>5</vt:i4>
      </vt:variant>
      <vt:variant>
        <vt:lpwstr>http://www.anodizing.org</vt:lpwstr>
      </vt:variant>
      <vt:variant>
        <vt:lpwstr/>
      </vt:variant>
      <vt:variant>
        <vt:i4>6553673</vt:i4>
      </vt:variant>
      <vt:variant>
        <vt:i4>6</vt:i4>
      </vt:variant>
      <vt:variant>
        <vt:i4>0</vt:i4>
      </vt:variant>
      <vt:variant>
        <vt:i4>5</vt:i4>
      </vt:variant>
      <vt:variant>
        <vt:lpwstr>http://www.apog.com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http://www.linetec.com</vt:lpwstr>
      </vt:variant>
      <vt:variant>
        <vt:lpwstr/>
      </vt:variant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http://www.linetec.com/Careers/Careers.html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creator>Heather West</dc:creator>
  <cp:lastModifiedBy>HeatherW</cp:lastModifiedBy>
  <cp:revision>4</cp:revision>
  <cp:lastPrinted>2020-05-08T13:46:00Z</cp:lastPrinted>
  <dcterms:created xsi:type="dcterms:W3CDTF">2021-02-16T22:02:00Z</dcterms:created>
  <dcterms:modified xsi:type="dcterms:W3CDTF">2021-02-17T15:13:00Z</dcterms:modified>
</cp:coreProperties>
</file>