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751274" w:rsidRDefault="00751274" w:rsidP="00DC4AA4">
      <w:pPr>
        <w:spacing w:after="0" w:line="240" w:lineRule="auto"/>
        <w:contextualSpacing/>
        <w:rPr>
          <w:rFonts w:ascii="Book Antiqua" w:hAnsi="Book Antiqua"/>
          <w:i/>
          <w:iCs/>
          <w:sz w:val="20"/>
          <w:szCs w:val="20"/>
        </w:rPr>
      </w:pPr>
      <w:r w:rsidRPr="00751274">
        <w:rPr>
          <w:rFonts w:ascii="Book Antiqua" w:hAnsi="Book Antiqua"/>
          <w:i/>
          <w:iCs/>
          <w:sz w:val="20"/>
          <w:szCs w:val="20"/>
        </w:rPr>
        <w:t>Media contact: Heather West, 612-724-8760, heather@heatherwestpr.com</w:t>
      </w:r>
    </w:p>
    <w:p w14:paraId="3B7C5B2C" w14:textId="2CC26F71" w:rsidR="00751274" w:rsidRPr="00751274" w:rsidRDefault="00751274" w:rsidP="00DC4AA4">
      <w:pPr>
        <w:spacing w:after="0" w:line="240" w:lineRule="auto"/>
        <w:contextualSpacing/>
        <w:rPr>
          <w:rFonts w:ascii="Book Antiqua" w:hAnsi="Book Antiqua"/>
          <w:i/>
          <w:iCs/>
          <w:sz w:val="24"/>
          <w:szCs w:val="24"/>
        </w:rPr>
      </w:pPr>
    </w:p>
    <w:p w14:paraId="2E280CEC" w14:textId="5604FA62" w:rsidR="00751274" w:rsidRPr="007C2F14" w:rsidRDefault="007C2F14" w:rsidP="00DC4AA4">
      <w:pPr>
        <w:spacing w:after="0" w:line="240" w:lineRule="auto"/>
        <w:contextualSpacing/>
        <w:jc w:val="center"/>
        <w:rPr>
          <w:rFonts w:ascii="Book Antiqua" w:hAnsi="Book Antiqua"/>
          <w:b/>
          <w:bCs/>
          <w:sz w:val="30"/>
          <w:szCs w:val="30"/>
        </w:rPr>
      </w:pPr>
      <w:r w:rsidRPr="007C2F14">
        <w:rPr>
          <w:rFonts w:ascii="Book Antiqua" w:hAnsi="Book Antiqua"/>
          <w:b/>
          <w:bCs/>
          <w:sz w:val="30"/>
          <w:szCs w:val="30"/>
        </w:rPr>
        <w:t>Linetec</w:t>
      </w:r>
      <w:r w:rsidR="00443B75">
        <w:rPr>
          <w:rFonts w:ascii="Book Antiqua" w:hAnsi="Book Antiqua"/>
          <w:b/>
          <w:bCs/>
          <w:sz w:val="30"/>
          <w:szCs w:val="30"/>
        </w:rPr>
        <w:t xml:space="preserve"> expands online, on-demand AIA/CES course offering</w:t>
      </w:r>
      <w:r w:rsidR="00443B75">
        <w:rPr>
          <w:rFonts w:ascii="Book Antiqua" w:hAnsi="Book Antiqua"/>
          <w:b/>
          <w:bCs/>
          <w:sz w:val="30"/>
          <w:szCs w:val="30"/>
        </w:rPr>
        <w:br/>
        <w:t>with “Architectural Design Opportunities” at Learn.Linetec.com</w:t>
      </w:r>
    </w:p>
    <w:p w14:paraId="047830B4" w14:textId="77777777" w:rsidR="007C2F14" w:rsidRPr="00DC4AA4" w:rsidRDefault="007C2F14" w:rsidP="00DC4AA4">
      <w:pPr>
        <w:spacing w:after="0" w:line="240" w:lineRule="auto"/>
        <w:contextualSpacing/>
        <w:rPr>
          <w:rFonts w:ascii="Book Antiqua" w:hAnsi="Book Antiqua" w:cs="Times New Roman"/>
        </w:rPr>
      </w:pPr>
    </w:p>
    <w:p w14:paraId="10FE7857" w14:textId="7435C0EC" w:rsidR="00DC4AA4" w:rsidRPr="004728F1" w:rsidRDefault="00751274" w:rsidP="00AE5466">
      <w:pPr>
        <w:pStyle w:val="NormalWeb"/>
        <w:spacing w:before="0" w:beforeAutospacing="0" w:after="0" w:afterAutospacing="0"/>
        <w:contextualSpacing/>
        <w:rPr>
          <w:rFonts w:ascii="Book Antiqua" w:hAnsi="Book Antiqua"/>
          <w:color w:val="000000" w:themeColor="text1"/>
          <w:sz w:val="22"/>
          <w:szCs w:val="22"/>
        </w:rPr>
      </w:pPr>
      <w:r w:rsidRPr="004728F1">
        <w:rPr>
          <w:rFonts w:ascii="Book Antiqua" w:hAnsi="Book Antiqua"/>
          <w:sz w:val="22"/>
          <w:szCs w:val="22"/>
        </w:rPr>
        <w:t xml:space="preserve">Wausau, Wisconsin </w:t>
      </w:r>
      <w:r w:rsidR="00BC689E" w:rsidRPr="004728F1">
        <w:rPr>
          <w:rFonts w:ascii="Book Antiqua" w:hAnsi="Book Antiqua"/>
          <w:sz w:val="22"/>
          <w:szCs w:val="22"/>
        </w:rPr>
        <w:t>(</w:t>
      </w:r>
      <w:r w:rsidR="00A04478">
        <w:rPr>
          <w:rFonts w:ascii="Book Antiqua" w:hAnsi="Book Antiqua"/>
          <w:sz w:val="22"/>
          <w:szCs w:val="22"/>
        </w:rPr>
        <w:t>June</w:t>
      </w:r>
      <w:r w:rsidR="00BC689E" w:rsidRPr="004728F1">
        <w:rPr>
          <w:rFonts w:ascii="Book Antiqua" w:hAnsi="Book Antiqua"/>
          <w:sz w:val="22"/>
          <w:szCs w:val="22"/>
        </w:rPr>
        <w:t xml:space="preserve"> 2022</w:t>
      </w:r>
      <w:r w:rsidRPr="004728F1">
        <w:rPr>
          <w:rFonts w:ascii="Book Antiqua" w:hAnsi="Book Antiqua"/>
          <w:sz w:val="22"/>
          <w:szCs w:val="22"/>
        </w:rPr>
        <w:t xml:space="preserve">) – </w:t>
      </w:r>
      <w:r w:rsidR="00443B75" w:rsidRPr="004728F1">
        <w:rPr>
          <w:rFonts w:ascii="Book Antiqua" w:hAnsi="Book Antiqua"/>
          <w:color w:val="000000" w:themeColor="text1"/>
          <w:sz w:val="22"/>
          <w:szCs w:val="22"/>
        </w:rPr>
        <w:t>Linetec, the nation’s largest single-source solution for architectural aluminum finishing, has</w:t>
      </w:r>
      <w:r w:rsidR="00443B75" w:rsidRPr="004728F1">
        <w:rPr>
          <w:rFonts w:ascii="Book Antiqua" w:hAnsi="Book Antiqua"/>
          <w:sz w:val="22"/>
          <w:szCs w:val="22"/>
        </w:rPr>
        <w:t xml:space="preserve"> added “Architectural Design Opportunities: Utilizing High-Performance Coatings” as a new online</w:t>
      </w:r>
      <w:r w:rsidR="00443B75" w:rsidRPr="004728F1">
        <w:rPr>
          <w:rFonts w:ascii="Book Antiqua" w:hAnsi="Book Antiqua"/>
          <w:color w:val="000000" w:themeColor="text1"/>
          <w:sz w:val="22"/>
          <w:szCs w:val="22"/>
        </w:rPr>
        <w:t>, on-demand</w:t>
      </w:r>
      <w:r w:rsidR="00AE5466" w:rsidRPr="004728F1">
        <w:rPr>
          <w:rFonts w:ascii="Book Antiqua" w:hAnsi="Book Antiqua"/>
          <w:color w:val="000000" w:themeColor="text1"/>
          <w:sz w:val="22"/>
          <w:szCs w:val="22"/>
        </w:rPr>
        <w:t>, video</w:t>
      </w:r>
      <w:r w:rsidR="00443B75" w:rsidRPr="004728F1">
        <w:rPr>
          <w:rFonts w:ascii="Book Antiqua" w:hAnsi="Book Antiqua"/>
          <w:color w:val="000000" w:themeColor="text1"/>
          <w:sz w:val="22"/>
          <w:szCs w:val="22"/>
        </w:rPr>
        <w:t xml:space="preserve"> continuing education course at </w:t>
      </w:r>
      <w:hyperlink r:id="rId8" w:history="1">
        <w:r w:rsidR="00443B75" w:rsidRPr="004728F1">
          <w:rPr>
            <w:rStyle w:val="Hyperlink"/>
            <w:rFonts w:ascii="Book Antiqua" w:hAnsi="Book Antiqua"/>
            <w:sz w:val="22"/>
            <w:szCs w:val="22"/>
          </w:rPr>
          <w:t>Learn.Linetec.co</w:t>
        </w:r>
        <w:r w:rsidR="00443B75" w:rsidRPr="004728F1">
          <w:rPr>
            <w:rStyle w:val="Hyperlink"/>
            <w:rFonts w:ascii="Book Antiqua" w:hAnsi="Book Antiqua"/>
            <w:sz w:val="22"/>
            <w:szCs w:val="22"/>
          </w:rPr>
          <w:t>m</w:t>
        </w:r>
      </w:hyperlink>
      <w:r w:rsidR="00443B75" w:rsidRPr="004728F1">
        <w:rPr>
          <w:rFonts w:ascii="Book Antiqua" w:hAnsi="Book Antiqua"/>
          <w:color w:val="000000" w:themeColor="text1"/>
          <w:sz w:val="22"/>
          <w:szCs w:val="22"/>
        </w:rPr>
        <w:t>.</w:t>
      </w:r>
    </w:p>
    <w:p w14:paraId="04A22F62" w14:textId="77777777" w:rsidR="00DC4AA4" w:rsidRPr="004728F1" w:rsidRDefault="00DC4AA4" w:rsidP="00AE5466">
      <w:pPr>
        <w:pStyle w:val="NormalWeb"/>
        <w:spacing w:before="0" w:beforeAutospacing="0" w:after="0" w:afterAutospacing="0"/>
        <w:contextualSpacing/>
        <w:rPr>
          <w:rFonts w:ascii="Book Antiqua" w:hAnsi="Book Antiqua"/>
          <w:color w:val="000000" w:themeColor="text1"/>
          <w:sz w:val="22"/>
          <w:szCs w:val="22"/>
        </w:rPr>
      </w:pPr>
    </w:p>
    <w:p w14:paraId="09FC0FAA" w14:textId="3CA45644" w:rsidR="00DC4AA4" w:rsidRPr="004728F1" w:rsidRDefault="00DC4AA4" w:rsidP="00AE5466">
      <w:pPr>
        <w:pStyle w:val="NormalWeb"/>
        <w:spacing w:before="0" w:beforeAutospacing="0" w:after="0" w:afterAutospacing="0"/>
        <w:contextualSpacing/>
        <w:rPr>
          <w:rFonts w:ascii="Book Antiqua" w:hAnsi="Book Antiqua"/>
          <w:color w:val="000000" w:themeColor="text1"/>
          <w:sz w:val="22"/>
          <w:szCs w:val="22"/>
        </w:rPr>
      </w:pPr>
      <w:r w:rsidRPr="004728F1">
        <w:rPr>
          <w:rFonts w:ascii="Book Antiqua" w:hAnsi="Book Antiqua"/>
          <w:color w:val="000000" w:themeColor="text1"/>
          <w:sz w:val="22"/>
          <w:szCs w:val="22"/>
        </w:rPr>
        <w:t>The course joins “Architectural Coatings: Weathering, performance and application of high-performance coatings” as an approved American Institute of Architects Continuing Education Series (AIA/CES) presentation. Those who successfully complete both of Linetec’s one-hour, self-guided courses c</w:t>
      </w:r>
      <w:r w:rsidRPr="004728F1">
        <w:rPr>
          <w:rFonts w:ascii="Book Antiqua" w:eastAsia="Times New Roman" w:hAnsi="Book Antiqua"/>
          <w:sz w:val="22"/>
          <w:szCs w:val="22"/>
        </w:rPr>
        <w:t>an earn up to 2.0 Learning Units (2.0 LU</w:t>
      </w:r>
      <w:r w:rsidR="00247E2E">
        <w:rPr>
          <w:rFonts w:ascii="Book Antiqua" w:eastAsia="Times New Roman" w:hAnsi="Book Antiqua"/>
          <w:sz w:val="22"/>
          <w:szCs w:val="22"/>
        </w:rPr>
        <w:t>s</w:t>
      </w:r>
      <w:r w:rsidRPr="004728F1">
        <w:rPr>
          <w:rFonts w:ascii="Book Antiqua" w:eastAsia="Times New Roman" w:hAnsi="Book Antiqua"/>
          <w:sz w:val="22"/>
          <w:szCs w:val="22"/>
        </w:rPr>
        <w:t>).</w:t>
      </w:r>
    </w:p>
    <w:p w14:paraId="325D568D" w14:textId="41CE1DF0" w:rsidR="00330511" w:rsidRPr="004728F1" w:rsidRDefault="00330511" w:rsidP="004728F1">
      <w:pPr>
        <w:spacing w:after="0" w:line="240" w:lineRule="auto"/>
        <w:contextualSpacing/>
        <w:rPr>
          <w:rFonts w:ascii="Book Antiqua" w:hAnsi="Book Antiqua"/>
        </w:rPr>
      </w:pPr>
    </w:p>
    <w:p w14:paraId="7608C5AC" w14:textId="64342EB2" w:rsidR="00EE32D0" w:rsidRPr="004728F1" w:rsidRDefault="00DC4AA4" w:rsidP="004728F1">
      <w:pPr>
        <w:spacing w:after="0" w:line="240" w:lineRule="auto"/>
        <w:contextualSpacing/>
        <w:rPr>
          <w:rFonts w:ascii="Book Antiqua" w:hAnsi="Book Antiqua"/>
        </w:rPr>
      </w:pPr>
      <w:r w:rsidRPr="004728F1">
        <w:rPr>
          <w:rFonts w:ascii="Book Antiqua" w:hAnsi="Book Antiqua"/>
        </w:rPr>
        <w:t xml:space="preserve">The “Architectural Design Opportunities” course provides architects, architectural specifiers and others </w:t>
      </w:r>
      <w:r w:rsidR="00DF0017">
        <w:rPr>
          <w:rFonts w:ascii="Book Antiqua" w:hAnsi="Book Antiqua"/>
        </w:rPr>
        <w:t>with</w:t>
      </w:r>
      <w:r w:rsidR="004728F1" w:rsidRPr="004728F1">
        <w:rPr>
          <w:rFonts w:ascii="Book Antiqua" w:hAnsi="Book Antiqua"/>
        </w:rPr>
        <w:t>:</w:t>
      </w:r>
    </w:p>
    <w:p w14:paraId="51564094" w14:textId="2EC92D7C" w:rsidR="00EE32D0" w:rsidRPr="004728F1" w:rsidRDefault="00DF0017" w:rsidP="00F370AD">
      <w:pPr>
        <w:pStyle w:val="ListParagraph"/>
        <w:numPr>
          <w:ilvl w:val="0"/>
          <w:numId w:val="4"/>
        </w:numPr>
        <w:ind w:left="360"/>
        <w:rPr>
          <w:rFonts w:ascii="Book Antiqua" w:hAnsi="Book Antiqua"/>
          <w:sz w:val="22"/>
          <w:szCs w:val="22"/>
        </w:rPr>
      </w:pPr>
      <w:r>
        <w:rPr>
          <w:rFonts w:ascii="Book Antiqua" w:hAnsi="Book Antiqua"/>
          <w:sz w:val="22"/>
          <w:szCs w:val="22"/>
        </w:rPr>
        <w:t xml:space="preserve">General </w:t>
      </w:r>
      <w:r w:rsidR="004728F1">
        <w:rPr>
          <w:rFonts w:ascii="Book Antiqua" w:hAnsi="Book Antiqua"/>
          <w:color w:val="000000" w:themeColor="text1"/>
          <w:sz w:val="22"/>
          <w:szCs w:val="22"/>
        </w:rPr>
        <w:t>knowledge</w:t>
      </w:r>
      <w:r w:rsidR="00EE32D0" w:rsidRPr="004728F1">
        <w:rPr>
          <w:rFonts w:ascii="Book Antiqua" w:hAnsi="Book Antiqua"/>
          <w:color w:val="000000" w:themeColor="text1"/>
          <w:sz w:val="22"/>
          <w:szCs w:val="22"/>
        </w:rPr>
        <w:t xml:space="preserve"> and specifications</w:t>
      </w:r>
    </w:p>
    <w:p w14:paraId="1E1F3006" w14:textId="4487D02A" w:rsidR="00EE32D0" w:rsidRPr="004728F1" w:rsidRDefault="00EE32D0" w:rsidP="00F370AD">
      <w:pPr>
        <w:pStyle w:val="ListParagraph"/>
        <w:numPr>
          <w:ilvl w:val="0"/>
          <w:numId w:val="4"/>
        </w:numPr>
        <w:ind w:left="360"/>
        <w:rPr>
          <w:rFonts w:ascii="Book Antiqua" w:hAnsi="Book Antiqua"/>
          <w:sz w:val="22"/>
          <w:szCs w:val="22"/>
        </w:rPr>
      </w:pPr>
      <w:r w:rsidRPr="004728F1">
        <w:rPr>
          <w:rFonts w:ascii="Book Antiqua" w:hAnsi="Book Antiqua"/>
          <w:color w:val="000000" w:themeColor="text1"/>
          <w:sz w:val="22"/>
          <w:szCs w:val="22"/>
        </w:rPr>
        <w:t>Industry knowledge and finishing information</w:t>
      </w:r>
    </w:p>
    <w:p w14:paraId="42F4E292" w14:textId="2B46839E" w:rsidR="00EE32D0" w:rsidRPr="004728F1" w:rsidRDefault="00EE32D0" w:rsidP="00F370AD">
      <w:pPr>
        <w:pStyle w:val="ListParagraph"/>
        <w:numPr>
          <w:ilvl w:val="0"/>
          <w:numId w:val="4"/>
        </w:numPr>
        <w:ind w:left="360"/>
        <w:rPr>
          <w:rFonts w:ascii="Book Antiqua" w:hAnsi="Book Antiqua"/>
          <w:sz w:val="22"/>
          <w:szCs w:val="22"/>
        </w:rPr>
      </w:pPr>
      <w:r w:rsidRPr="004728F1">
        <w:rPr>
          <w:rFonts w:ascii="Book Antiqua" w:hAnsi="Book Antiqua"/>
          <w:color w:val="000000" w:themeColor="text1"/>
          <w:sz w:val="22"/>
          <w:szCs w:val="22"/>
        </w:rPr>
        <w:t xml:space="preserve">Design </w:t>
      </w:r>
      <w:r w:rsidR="00DF0017">
        <w:rPr>
          <w:rFonts w:ascii="Book Antiqua" w:hAnsi="Book Antiqua"/>
          <w:color w:val="000000" w:themeColor="text1"/>
          <w:sz w:val="22"/>
          <w:szCs w:val="22"/>
        </w:rPr>
        <w:t xml:space="preserve">and customization </w:t>
      </w:r>
      <w:r w:rsidRPr="004728F1">
        <w:rPr>
          <w:rFonts w:ascii="Book Antiqua" w:hAnsi="Book Antiqua"/>
          <w:color w:val="000000" w:themeColor="text1"/>
          <w:sz w:val="22"/>
          <w:szCs w:val="22"/>
        </w:rPr>
        <w:t>opportunities</w:t>
      </w:r>
    </w:p>
    <w:p w14:paraId="6BB70329" w14:textId="415EA5E4" w:rsidR="00DC4AA4" w:rsidRPr="004728F1" w:rsidRDefault="00EE32D0" w:rsidP="00DF0017">
      <w:pPr>
        <w:spacing w:after="0" w:line="240" w:lineRule="auto"/>
        <w:ind w:left="360"/>
        <w:contextualSpacing/>
        <w:rPr>
          <w:rFonts w:ascii="Book Antiqua" w:hAnsi="Book Antiqua"/>
        </w:rPr>
      </w:pPr>
      <w:r w:rsidRPr="004728F1">
        <w:rPr>
          <w:rFonts w:ascii="Book Antiqua" w:hAnsi="Book Antiqua"/>
        </w:rPr>
        <w:t xml:space="preserve">for </w:t>
      </w:r>
      <w:r w:rsidR="00DF0017">
        <w:rPr>
          <w:rFonts w:ascii="Book Antiqua" w:hAnsi="Book Antiqua"/>
        </w:rPr>
        <w:t xml:space="preserve">long-lasting </w:t>
      </w:r>
      <w:r w:rsidRPr="004728F1">
        <w:rPr>
          <w:rFonts w:ascii="Book Antiqua" w:hAnsi="Book Antiqua"/>
        </w:rPr>
        <w:t>anodize finishes and painted coatings</w:t>
      </w:r>
      <w:r w:rsidR="004728F1" w:rsidRPr="004728F1">
        <w:rPr>
          <w:rFonts w:ascii="Book Antiqua" w:hAnsi="Book Antiqua"/>
        </w:rPr>
        <w:t xml:space="preserve"> </w:t>
      </w:r>
      <w:r w:rsidR="00DF0017">
        <w:rPr>
          <w:rFonts w:ascii="Book Antiqua" w:hAnsi="Book Antiqua"/>
        </w:rPr>
        <w:t xml:space="preserve">on </w:t>
      </w:r>
      <w:r w:rsidRPr="004728F1">
        <w:rPr>
          <w:rFonts w:ascii="Book Antiqua" w:hAnsi="Book Antiqua"/>
        </w:rPr>
        <w:t>architectural aluminum products.</w:t>
      </w:r>
    </w:p>
    <w:p w14:paraId="7D088C77" w14:textId="77777777" w:rsidR="00DC4AA4" w:rsidRPr="004728F1" w:rsidRDefault="00DC4AA4" w:rsidP="004728F1">
      <w:pPr>
        <w:spacing w:after="0" w:line="240" w:lineRule="auto"/>
        <w:contextualSpacing/>
        <w:rPr>
          <w:rFonts w:ascii="Book Antiqua" w:hAnsi="Book Antiqua"/>
        </w:rPr>
      </w:pPr>
    </w:p>
    <w:p w14:paraId="4C01A957" w14:textId="2521BAF5" w:rsidR="00DC4AA4" w:rsidRPr="00AE5466" w:rsidRDefault="00DC4AA4" w:rsidP="004728F1">
      <w:pPr>
        <w:spacing w:after="0" w:line="240" w:lineRule="auto"/>
        <w:ind w:right="90"/>
        <w:contextualSpacing/>
        <w:rPr>
          <w:rFonts w:ascii="Book Antiqua" w:hAnsi="Book Antiqua"/>
          <w:color w:val="000000"/>
        </w:rPr>
      </w:pPr>
      <w:r w:rsidRPr="004728F1">
        <w:rPr>
          <w:rFonts w:ascii="Book Antiqua" w:hAnsi="Book Antiqua"/>
        </w:rPr>
        <w:t xml:space="preserve">To take the course, visit </w:t>
      </w:r>
      <w:r w:rsidR="00AE5466" w:rsidRPr="004728F1">
        <w:rPr>
          <w:rFonts w:ascii="Book Antiqua" w:hAnsi="Book Antiqua"/>
        </w:rPr>
        <w:t xml:space="preserve">Learn with Linetec at </w:t>
      </w:r>
      <w:hyperlink r:id="rId9" w:history="1">
        <w:r w:rsidR="00AE5466" w:rsidRPr="004728F1">
          <w:rPr>
            <w:rStyle w:val="Hyperlink"/>
            <w:rFonts w:ascii="Book Antiqua" w:hAnsi="Book Antiqua"/>
          </w:rPr>
          <w:t>Learn.Lin</w:t>
        </w:r>
        <w:r w:rsidR="00AE5466" w:rsidRPr="004728F1">
          <w:rPr>
            <w:rStyle w:val="Hyperlink"/>
            <w:rFonts w:ascii="Book Antiqua" w:hAnsi="Book Antiqua"/>
          </w:rPr>
          <w:t>e</w:t>
        </w:r>
        <w:r w:rsidR="00AE5466" w:rsidRPr="004728F1">
          <w:rPr>
            <w:rStyle w:val="Hyperlink"/>
            <w:rFonts w:ascii="Book Antiqua" w:hAnsi="Book Antiqua"/>
          </w:rPr>
          <w:t>tec.com</w:t>
        </w:r>
      </w:hyperlink>
      <w:r w:rsidR="00AE5466" w:rsidRPr="004728F1">
        <w:rPr>
          <w:rFonts w:ascii="Book Antiqua" w:hAnsi="Book Antiqua"/>
          <w:color w:val="000000" w:themeColor="text1"/>
        </w:rPr>
        <w:t xml:space="preserve"> </w:t>
      </w:r>
      <w:r w:rsidR="00AE5466" w:rsidRPr="004728F1">
        <w:rPr>
          <w:rFonts w:ascii="Book Antiqua" w:hAnsi="Book Antiqua"/>
          <w:color w:val="000000"/>
        </w:rPr>
        <w:t>to</w:t>
      </w:r>
      <w:r w:rsidRPr="004728F1">
        <w:rPr>
          <w:rFonts w:ascii="Book Antiqua" w:hAnsi="Book Antiqua"/>
          <w:color w:val="000000"/>
        </w:rPr>
        <w:t xml:space="preserve"> complete the simple registration form. A profile will be automatically generated for registered users to immediately begin learning. The video format allows users to pause and progress through sequential lessons and then take </w:t>
      </w:r>
      <w:r w:rsidRPr="00AE5466">
        <w:rPr>
          <w:rFonts w:ascii="Book Antiqua" w:hAnsi="Book Antiqua"/>
          <w:color w:val="000000"/>
        </w:rPr>
        <w:t>a brief quiz after completing the coursework. Upon passing, users will automatically have the opportunity to download a completion certificate. If AIA/CES credit is requested, Linetec will process the submission.</w:t>
      </w:r>
    </w:p>
    <w:p w14:paraId="76CA4F09" w14:textId="77777777" w:rsidR="00DC4AA4" w:rsidRPr="00AE5466" w:rsidRDefault="00DC4AA4" w:rsidP="00AE5466">
      <w:pPr>
        <w:spacing w:after="0" w:line="240" w:lineRule="auto"/>
        <w:contextualSpacing/>
        <w:rPr>
          <w:rFonts w:ascii="Book Antiqua" w:hAnsi="Book Antiqua"/>
          <w:color w:val="000000" w:themeColor="text1"/>
        </w:rPr>
      </w:pPr>
    </w:p>
    <w:p w14:paraId="4A4703B4" w14:textId="77777777" w:rsidR="00DC4AA4" w:rsidRPr="00AE5466" w:rsidRDefault="00DC4AA4" w:rsidP="00AE5466">
      <w:pPr>
        <w:spacing w:after="0" w:line="240" w:lineRule="auto"/>
        <w:contextualSpacing/>
        <w:rPr>
          <w:rFonts w:ascii="Book Antiqua" w:hAnsi="Book Antiqua"/>
        </w:rPr>
      </w:pPr>
      <w:r w:rsidRPr="00AE5466">
        <w:rPr>
          <w:rFonts w:ascii="Book Antiqua" w:hAnsi="Book Antiqua"/>
          <w:color w:val="000000" w:themeColor="text1"/>
        </w:rPr>
        <w:t xml:space="preserve">Linetec’s course presenter and North Central sales manager, Tony </w:t>
      </w:r>
      <w:proofErr w:type="spellStart"/>
      <w:r w:rsidRPr="00AE5466">
        <w:rPr>
          <w:rFonts w:ascii="Book Antiqua" w:hAnsi="Book Antiqua"/>
          <w:color w:val="000000" w:themeColor="text1"/>
        </w:rPr>
        <w:t>Pupp</w:t>
      </w:r>
      <w:proofErr w:type="spellEnd"/>
      <w:r w:rsidRPr="00AE5466">
        <w:rPr>
          <w:rFonts w:ascii="Book Antiqua" w:hAnsi="Book Antiqua"/>
          <w:color w:val="000000" w:themeColor="text1"/>
        </w:rPr>
        <w:t xml:space="preserve">, has </w:t>
      </w:r>
      <w:r w:rsidRPr="00AE5466">
        <w:rPr>
          <w:rFonts w:ascii="Book Antiqua" w:hAnsi="Book Antiqua"/>
        </w:rPr>
        <w:t xml:space="preserve">more than 25 years of experience in high-performance paint and anodize finishing. He frequently presents Linetec’s AIA/CES programs at chapter events for the </w:t>
      </w:r>
      <w:hyperlink r:id="rId10" w:history="1">
        <w:r w:rsidRPr="00AE5466">
          <w:rPr>
            <w:rStyle w:val="Hyperlink"/>
            <w:rFonts w:ascii="Book Antiqua" w:hAnsi="Book Antiqua"/>
          </w:rPr>
          <w:t>AIA</w:t>
        </w:r>
      </w:hyperlink>
      <w:r w:rsidRPr="00AE5466">
        <w:rPr>
          <w:rFonts w:ascii="Book Antiqua" w:hAnsi="Book Antiqua"/>
        </w:rPr>
        <w:t>, the Association of Licensed Architects (</w:t>
      </w:r>
      <w:hyperlink r:id="rId11" w:history="1">
        <w:r w:rsidRPr="00AE5466">
          <w:rPr>
            <w:rStyle w:val="Hyperlink"/>
            <w:rFonts w:ascii="Book Antiqua" w:hAnsi="Book Antiqua"/>
          </w:rPr>
          <w:t>ALA</w:t>
        </w:r>
      </w:hyperlink>
      <w:r w:rsidRPr="00AE5466">
        <w:rPr>
          <w:rFonts w:ascii="Book Antiqua" w:hAnsi="Book Antiqua"/>
        </w:rPr>
        <w:t>), the Construction Specifications Institute (</w:t>
      </w:r>
      <w:hyperlink r:id="rId12" w:history="1">
        <w:r w:rsidRPr="00AE5466">
          <w:rPr>
            <w:rStyle w:val="Hyperlink"/>
            <w:rFonts w:ascii="Book Antiqua" w:hAnsi="Book Antiqua"/>
          </w:rPr>
          <w:t>CSI</w:t>
        </w:r>
      </w:hyperlink>
      <w:r w:rsidRPr="00AE5466">
        <w:rPr>
          <w:rFonts w:ascii="Book Antiqua" w:hAnsi="Book Antiqua"/>
        </w:rPr>
        <w:t>) and the U.S. Green Building Council (</w:t>
      </w:r>
      <w:hyperlink r:id="rId13" w:history="1">
        <w:r w:rsidRPr="00AE5466">
          <w:rPr>
            <w:rStyle w:val="Hyperlink"/>
            <w:rFonts w:ascii="Book Antiqua" w:hAnsi="Book Antiqua"/>
          </w:rPr>
          <w:t>USGBC</w:t>
        </w:r>
      </w:hyperlink>
      <w:r w:rsidRPr="00AE5466">
        <w:rPr>
          <w:rFonts w:ascii="Book Antiqua" w:hAnsi="Book Antiqua"/>
        </w:rPr>
        <w:t>).</w:t>
      </w:r>
    </w:p>
    <w:p w14:paraId="2165FEE9" w14:textId="77777777" w:rsidR="00DC4AA4" w:rsidRPr="00AE5466" w:rsidRDefault="00DC4AA4" w:rsidP="00AE5466">
      <w:pPr>
        <w:spacing w:after="0" w:line="240" w:lineRule="auto"/>
        <w:contextualSpacing/>
        <w:rPr>
          <w:rFonts w:ascii="Book Antiqua" w:hAnsi="Book Antiqua"/>
        </w:rPr>
      </w:pPr>
    </w:p>
    <w:p w14:paraId="60F10769" w14:textId="7FD490EE" w:rsidR="00DC4AA4" w:rsidRPr="00AE5466" w:rsidRDefault="00AE5466" w:rsidP="00AE5466">
      <w:pPr>
        <w:spacing w:after="0" w:line="240" w:lineRule="auto"/>
        <w:contextualSpacing/>
        <w:rPr>
          <w:rFonts w:ascii="Book Antiqua" w:hAnsi="Book Antiqua"/>
        </w:rPr>
      </w:pPr>
      <w:r w:rsidRPr="00AE5466">
        <w:rPr>
          <w:rFonts w:ascii="Book Antiqua" w:hAnsi="Book Antiqua"/>
        </w:rPr>
        <w:t xml:space="preserve">“Architectural Design Opportunities,” </w:t>
      </w:r>
      <w:r w:rsidR="00DC4AA4" w:rsidRPr="00AE5466">
        <w:rPr>
          <w:rFonts w:ascii="Book Antiqua" w:hAnsi="Book Antiqua"/>
        </w:rPr>
        <w:t xml:space="preserve">“Architectural Coatings” </w:t>
      </w:r>
      <w:r w:rsidRPr="00AE5466">
        <w:rPr>
          <w:rFonts w:ascii="Book Antiqua" w:hAnsi="Book Antiqua"/>
        </w:rPr>
        <w:t xml:space="preserve">and </w:t>
      </w:r>
      <w:r w:rsidR="00DC4AA4" w:rsidRPr="00AE5466">
        <w:rPr>
          <w:rFonts w:ascii="Book Antiqua" w:hAnsi="Book Antiqua"/>
        </w:rPr>
        <w:t>“Architectural Anodize Coatings: Strengths, characteristics and performance” (1.0 LU)</w:t>
      </w:r>
      <w:r w:rsidRPr="00AE5466">
        <w:rPr>
          <w:rFonts w:ascii="Book Antiqua" w:hAnsi="Book Antiqua"/>
        </w:rPr>
        <w:t xml:space="preserve"> also may be requested as in-person presentations.</w:t>
      </w:r>
      <w:r w:rsidR="00DC4AA4" w:rsidRPr="00AE5466">
        <w:rPr>
          <w:rFonts w:ascii="Book Antiqua" w:hAnsi="Book Antiqua"/>
        </w:rPr>
        <w:t xml:space="preserve"> Watch for future online courses and educational content to be added at </w:t>
      </w:r>
      <w:hyperlink r:id="rId14" w:history="1">
        <w:r w:rsidR="00DC4AA4" w:rsidRPr="00AE5466">
          <w:rPr>
            <w:rStyle w:val="Hyperlink"/>
            <w:rFonts w:ascii="Book Antiqua" w:hAnsi="Book Antiqua"/>
          </w:rPr>
          <w:t>Learn with Lin</w:t>
        </w:r>
        <w:r w:rsidR="00DC4AA4" w:rsidRPr="00AE5466">
          <w:rPr>
            <w:rStyle w:val="Hyperlink"/>
            <w:rFonts w:ascii="Book Antiqua" w:hAnsi="Book Antiqua"/>
          </w:rPr>
          <w:t>e</w:t>
        </w:r>
        <w:r w:rsidR="00DC4AA4" w:rsidRPr="00AE5466">
          <w:rPr>
            <w:rStyle w:val="Hyperlink"/>
            <w:rFonts w:ascii="Book Antiqua" w:hAnsi="Book Antiqua"/>
          </w:rPr>
          <w:t>tec</w:t>
        </w:r>
      </w:hyperlink>
      <w:r w:rsidR="00DC4AA4" w:rsidRPr="00AE5466">
        <w:rPr>
          <w:rFonts w:ascii="Book Antiqua" w:hAnsi="Book Antiqua"/>
        </w:rPr>
        <w:t>.</w:t>
      </w:r>
    </w:p>
    <w:p w14:paraId="19B62E06" w14:textId="77777777" w:rsidR="00DC4AA4" w:rsidRPr="00AE5466" w:rsidRDefault="00DC4AA4" w:rsidP="00AE5466">
      <w:pPr>
        <w:spacing w:after="0" w:line="240" w:lineRule="auto"/>
        <w:contextualSpacing/>
        <w:rPr>
          <w:rFonts w:ascii="Book Antiqua" w:hAnsi="Book Antiqua"/>
        </w:rPr>
      </w:pPr>
    </w:p>
    <w:p w14:paraId="7D105EB6" w14:textId="77777777" w:rsidR="00DC4AA4" w:rsidRPr="00AE5466" w:rsidRDefault="00DC4AA4" w:rsidP="00AE5466">
      <w:pPr>
        <w:spacing w:after="0" w:line="240" w:lineRule="auto"/>
        <w:ind w:right="180"/>
        <w:contextualSpacing/>
        <w:rPr>
          <w:rFonts w:ascii="Book Antiqua" w:hAnsi="Book Antiqua"/>
        </w:rPr>
      </w:pPr>
      <w:r w:rsidRPr="00AE5466">
        <w:rPr>
          <w:rFonts w:ascii="Book Antiqua" w:hAnsi="Book Antiqua"/>
        </w:rPr>
        <w:t xml:space="preserve">Learn more about Linetec’s architectural finishes and services, by visiting </w:t>
      </w:r>
      <w:hyperlink r:id="rId15" w:history="1">
        <w:r w:rsidRPr="00AE5466">
          <w:rPr>
            <w:rStyle w:val="Hyperlink"/>
            <w:rFonts w:ascii="Book Antiqua" w:hAnsi="Book Antiqua"/>
          </w:rPr>
          <w:t>https://linetec.com</w:t>
        </w:r>
      </w:hyperlink>
      <w:r w:rsidRPr="00AE5466">
        <w:rPr>
          <w:rFonts w:ascii="Book Antiqua" w:hAnsi="Book Antiqua"/>
        </w:rPr>
        <w:t>.</w:t>
      </w:r>
    </w:p>
    <w:p w14:paraId="3B44BB9F" w14:textId="56DE99C1" w:rsidR="00751274" w:rsidRPr="00DC4AA4" w:rsidRDefault="00751274" w:rsidP="00DC4AA4">
      <w:pPr>
        <w:spacing w:after="0" w:line="240" w:lineRule="auto"/>
        <w:contextualSpacing/>
        <w:rPr>
          <w:rFonts w:ascii="Book Antiqua" w:hAnsi="Book Antiqua"/>
          <w:sz w:val="18"/>
          <w:szCs w:val="18"/>
        </w:rPr>
      </w:pPr>
    </w:p>
    <w:p w14:paraId="48831E89" w14:textId="2DC38C8D" w:rsidR="00751274" w:rsidRPr="00DC4AA4" w:rsidRDefault="00751274" w:rsidP="00DC4AA4">
      <w:pPr>
        <w:spacing w:after="0" w:line="240" w:lineRule="auto"/>
        <w:contextualSpacing/>
        <w:rPr>
          <w:rFonts w:ascii="Book Antiqua" w:hAnsi="Book Antiqua"/>
          <w:b/>
          <w:bCs/>
          <w:i/>
          <w:iCs/>
          <w:sz w:val="18"/>
          <w:szCs w:val="18"/>
        </w:rPr>
      </w:pPr>
      <w:r w:rsidRPr="00DC4AA4">
        <w:rPr>
          <w:rFonts w:ascii="Book Antiqua" w:hAnsi="Book Antiqua"/>
          <w:b/>
          <w:bCs/>
          <w:i/>
          <w:iCs/>
          <w:sz w:val="18"/>
          <w:szCs w:val="18"/>
        </w:rPr>
        <w:t>About Linetec</w:t>
      </w:r>
    </w:p>
    <w:p w14:paraId="69374881" w14:textId="35B4B6FD" w:rsidR="00751274" w:rsidRPr="00C81D24" w:rsidRDefault="00751274" w:rsidP="00DC4AA4">
      <w:pPr>
        <w:spacing w:after="0" w:line="240" w:lineRule="auto"/>
        <w:contextualSpacing/>
        <w:rPr>
          <w:rFonts w:ascii="Book Antiqua" w:hAnsi="Book Antiqua"/>
          <w:i/>
          <w:iCs/>
          <w:sz w:val="18"/>
          <w:szCs w:val="18"/>
        </w:rPr>
      </w:pPr>
      <w:r w:rsidRPr="00DC4AA4">
        <w:rPr>
          <w:rFonts w:ascii="Book Antiqua" w:hAnsi="Book Antiqua"/>
          <w:i/>
          <w:iCs/>
          <w:sz w:val="18"/>
          <w:szCs w:val="18"/>
        </w:rPr>
        <w:t>Loca</w:t>
      </w:r>
      <w:r w:rsidRPr="00C81D24">
        <w:rPr>
          <w:rFonts w:ascii="Book Antiqua" w:hAnsi="Book Antiqua"/>
          <w:i/>
          <w:iCs/>
          <w:sz w:val="18"/>
          <w:szCs w:val="18"/>
        </w:rPr>
        <w:t xml:space="preserve">ted in Wisconsin, </w:t>
      </w:r>
      <w:hyperlink r:id="rId16" w:tgtFrame="_blank" w:history="1">
        <w:r w:rsidRPr="00C81D24">
          <w:rPr>
            <w:rStyle w:val="Hyperlink"/>
            <w:rFonts w:ascii="Book Antiqua" w:hAnsi="Book Antiqua"/>
            <w:i/>
            <w:iCs/>
            <w:sz w:val="18"/>
            <w:szCs w:val="18"/>
          </w:rPr>
          <w:t>Linetec</w:t>
        </w:r>
      </w:hyperlink>
      <w:r w:rsidRPr="00C81D24">
        <w:rPr>
          <w:rFonts w:ascii="Book Antiqua" w:hAnsi="Book Antiqua"/>
          <w:i/>
          <w:iCs/>
          <w:sz w:val="18"/>
          <w:szCs w:val="18"/>
        </w:rPr>
        <w:t xml:space="preserve"> serves as a single source solution for architectural finishing. The company works with customers across the country, finishing such products as aluminum windows, wall systems, doors, hardware and other architectural metal components, as well as automotive, marine and manufactured consumer goods.</w:t>
      </w:r>
    </w:p>
    <w:p w14:paraId="08E57BCC" w14:textId="77777777" w:rsidR="00751274" w:rsidRPr="00C81D24" w:rsidRDefault="00751274" w:rsidP="00DC4AA4">
      <w:pPr>
        <w:spacing w:after="0" w:line="240" w:lineRule="auto"/>
        <w:contextualSpacing/>
        <w:rPr>
          <w:rFonts w:ascii="Book Antiqua" w:hAnsi="Book Antiqua"/>
          <w:i/>
          <w:iCs/>
          <w:sz w:val="18"/>
          <w:szCs w:val="18"/>
        </w:rPr>
      </w:pPr>
    </w:p>
    <w:p w14:paraId="66CAE90B" w14:textId="42B50622" w:rsidR="00751274" w:rsidRPr="00C81D24" w:rsidRDefault="00751274" w:rsidP="00DC4AA4">
      <w:pPr>
        <w:spacing w:after="0" w:line="240" w:lineRule="auto"/>
        <w:contextualSpacing/>
        <w:rPr>
          <w:rFonts w:ascii="Book Antiqua" w:hAnsi="Book Antiqua"/>
          <w:i/>
          <w:iCs/>
          <w:sz w:val="18"/>
          <w:szCs w:val="18"/>
        </w:rPr>
      </w:pPr>
      <w:r w:rsidRPr="00C81D24">
        <w:rPr>
          <w:rFonts w:ascii="Book Antiqua" w:hAnsi="Book Antiqua"/>
          <w:i/>
          <w:iCs/>
          <w:sz w:val="18"/>
          <w:szCs w:val="18"/>
        </w:rPr>
        <w:t>Linetec is a member of the Aluminum Anodizers Council (</w:t>
      </w:r>
      <w:hyperlink r:id="rId17" w:tgtFrame="_blank" w:history="1">
        <w:r w:rsidRPr="00C81D24">
          <w:rPr>
            <w:rStyle w:val="Hyperlink"/>
            <w:rFonts w:ascii="Book Antiqua" w:hAnsi="Book Antiqua"/>
            <w:i/>
            <w:iCs/>
            <w:sz w:val="18"/>
            <w:szCs w:val="18"/>
          </w:rPr>
          <w:t>AAC</w:t>
        </w:r>
      </w:hyperlink>
      <w:r w:rsidRPr="00C81D24">
        <w:rPr>
          <w:rFonts w:ascii="Book Antiqua" w:hAnsi="Book Antiqua"/>
          <w:i/>
          <w:iCs/>
          <w:sz w:val="18"/>
          <w:szCs w:val="18"/>
        </w:rPr>
        <w:t>), the American Institute of Architects (</w:t>
      </w:r>
      <w:hyperlink r:id="rId18" w:tgtFrame="_blank" w:history="1">
        <w:r w:rsidRPr="00C81D24">
          <w:rPr>
            <w:rStyle w:val="Hyperlink"/>
            <w:rFonts w:ascii="Book Antiqua" w:hAnsi="Book Antiqua"/>
            <w:i/>
            <w:iCs/>
            <w:sz w:val="18"/>
            <w:szCs w:val="18"/>
          </w:rPr>
          <w:t>AIA</w:t>
        </w:r>
      </w:hyperlink>
      <w:r w:rsidRPr="00C81D24">
        <w:rPr>
          <w:rFonts w:ascii="Book Antiqua" w:hAnsi="Book Antiqua"/>
          <w:i/>
          <w:iCs/>
          <w:sz w:val="18"/>
          <w:szCs w:val="18"/>
        </w:rPr>
        <w:t>), the Fenestration &amp; Glazing Industry Alliance (</w:t>
      </w:r>
      <w:hyperlink r:id="rId19" w:history="1">
        <w:r w:rsidRPr="00C81D24">
          <w:rPr>
            <w:rStyle w:val="Hyperlink"/>
            <w:rFonts w:ascii="Book Antiqua" w:hAnsi="Book Antiqua"/>
            <w:i/>
            <w:iCs/>
            <w:sz w:val="18"/>
            <w:szCs w:val="18"/>
          </w:rPr>
          <w:t>FGIA</w:t>
        </w:r>
      </w:hyperlink>
      <w:r w:rsidRPr="00C81D24">
        <w:rPr>
          <w:rFonts w:ascii="Book Antiqua" w:hAnsi="Book Antiqua"/>
          <w:i/>
          <w:iCs/>
          <w:sz w:val="18"/>
          <w:szCs w:val="18"/>
        </w:rPr>
        <w:t>), the National Glass Association (</w:t>
      </w:r>
      <w:hyperlink r:id="rId20" w:history="1">
        <w:r w:rsidRPr="00C81D24">
          <w:rPr>
            <w:rStyle w:val="Hyperlink"/>
            <w:rFonts w:ascii="Book Antiqua" w:hAnsi="Book Antiqua"/>
            <w:i/>
            <w:iCs/>
            <w:sz w:val="18"/>
            <w:szCs w:val="18"/>
          </w:rPr>
          <w:t>NGA</w:t>
        </w:r>
      </w:hyperlink>
      <w:r w:rsidRPr="00C81D24">
        <w:rPr>
          <w:rFonts w:ascii="Book Antiqua" w:hAnsi="Book Antiqua"/>
          <w:i/>
          <w:iCs/>
          <w:sz w:val="18"/>
          <w:szCs w:val="18"/>
        </w:rPr>
        <w:t>) and the U.S. Green Building Council (</w:t>
      </w:r>
      <w:hyperlink r:id="rId21" w:tgtFrame="_blank" w:history="1">
        <w:r w:rsidRPr="00C81D24">
          <w:rPr>
            <w:rStyle w:val="Hyperlink"/>
            <w:rFonts w:ascii="Book Antiqua" w:hAnsi="Book Antiqua"/>
            <w:i/>
            <w:iCs/>
            <w:sz w:val="18"/>
            <w:szCs w:val="18"/>
          </w:rPr>
          <w:t>USGBC</w:t>
        </w:r>
      </w:hyperlink>
      <w:r w:rsidRPr="00C81D24">
        <w:rPr>
          <w:rFonts w:ascii="Book Antiqua" w:hAnsi="Book Antiqua"/>
          <w:i/>
          <w:iCs/>
          <w:sz w:val="18"/>
          <w:szCs w:val="18"/>
        </w:rPr>
        <w:t xml:space="preserve">). The company is a subsidiary of </w:t>
      </w:r>
      <w:hyperlink r:id="rId22" w:history="1">
        <w:r w:rsidRPr="00C81D24">
          <w:rPr>
            <w:rStyle w:val="Hyperlink"/>
            <w:rFonts w:ascii="Book Antiqua" w:hAnsi="Book Antiqua"/>
            <w:i/>
            <w:iCs/>
            <w:sz w:val="18"/>
            <w:szCs w:val="18"/>
          </w:rPr>
          <w:t>Apogee Enterprises, Inc.</w:t>
        </w:r>
      </w:hyperlink>
      <w:r w:rsidRPr="00C81D24">
        <w:rPr>
          <w:rFonts w:ascii="Book Antiqua" w:hAnsi="Book Antiqua" w:cs="Times New Roman"/>
          <w:i/>
          <w:iCs/>
          <w:sz w:val="18"/>
          <w:szCs w:val="18"/>
        </w:rPr>
        <w:t xml:space="preserve"> </w:t>
      </w:r>
      <w:r w:rsidRPr="00C81D24">
        <w:rPr>
          <w:rFonts w:ascii="Book Antiqua" w:hAnsi="Book Antiqua"/>
          <w:i/>
          <w:iCs/>
          <w:sz w:val="18"/>
          <w:szCs w:val="18"/>
        </w:rPr>
        <w:t>(NASDAQ:APOG).</w:t>
      </w:r>
    </w:p>
    <w:p w14:paraId="115B4415" w14:textId="77777777" w:rsidR="00751274" w:rsidRPr="00C81D24" w:rsidRDefault="00751274" w:rsidP="00DC4AA4">
      <w:pPr>
        <w:spacing w:after="0" w:line="240" w:lineRule="auto"/>
        <w:contextualSpacing/>
        <w:jc w:val="center"/>
        <w:rPr>
          <w:rFonts w:ascii="Book Antiqua" w:hAnsi="Book Antiqua"/>
          <w:i/>
          <w:iCs/>
          <w:sz w:val="18"/>
          <w:szCs w:val="18"/>
        </w:rPr>
      </w:pPr>
    </w:p>
    <w:p w14:paraId="34BD5688" w14:textId="1A3B21F6" w:rsidR="00751274" w:rsidRPr="00C81D24" w:rsidRDefault="00751274" w:rsidP="00DC4AA4">
      <w:pPr>
        <w:spacing w:after="0" w:line="240" w:lineRule="auto"/>
        <w:contextualSpacing/>
        <w:jc w:val="center"/>
        <w:rPr>
          <w:rFonts w:ascii="Book Antiqua" w:hAnsi="Book Antiqua"/>
          <w:i/>
          <w:iCs/>
          <w:sz w:val="18"/>
          <w:szCs w:val="18"/>
        </w:rPr>
      </w:pPr>
      <w:r w:rsidRPr="00C81D24">
        <w:rPr>
          <w:rFonts w:ascii="Book Antiqua" w:hAnsi="Book Antiqua"/>
          <w:i/>
          <w:iCs/>
          <w:sz w:val="18"/>
          <w:szCs w:val="18"/>
        </w:rPr>
        <w:t>###</w:t>
      </w:r>
    </w:p>
    <w:sectPr w:rsidR="00751274" w:rsidRPr="00C81D24" w:rsidSect="00330511">
      <w:headerReference w:type="default" r:id="rId23"/>
      <w:footerReference w:type="default" r:id="rId24"/>
      <w:pgSz w:w="12240" w:h="15840" w:code="1"/>
      <w:pgMar w:top="252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B895" w14:textId="77777777" w:rsidR="00D06A1C" w:rsidRDefault="00D06A1C" w:rsidP="00686ACF">
      <w:pPr>
        <w:spacing w:after="0" w:line="240" w:lineRule="auto"/>
      </w:pPr>
      <w:r>
        <w:separator/>
      </w:r>
    </w:p>
  </w:endnote>
  <w:endnote w:type="continuationSeparator" w:id="0">
    <w:p w14:paraId="6622007E" w14:textId="77777777" w:rsidR="00D06A1C" w:rsidRDefault="00D06A1C"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B38" w14:textId="77777777" w:rsidR="00D06A1C" w:rsidRDefault="00D06A1C" w:rsidP="00686ACF">
      <w:pPr>
        <w:spacing w:after="0" w:line="240" w:lineRule="auto"/>
      </w:pPr>
      <w:r>
        <w:separator/>
      </w:r>
    </w:p>
  </w:footnote>
  <w:footnote w:type="continuationSeparator" w:id="0">
    <w:p w14:paraId="507394EE" w14:textId="77777777" w:rsidR="00D06A1C" w:rsidRDefault="00D06A1C"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77777777"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EF6"/>
    <w:multiLevelType w:val="hybridMultilevel"/>
    <w:tmpl w:val="E90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8620752">
    <w:abstractNumId w:val="1"/>
  </w:num>
  <w:num w:numId="2" w16cid:durableId="1749964371">
    <w:abstractNumId w:val="3"/>
  </w:num>
  <w:num w:numId="3" w16cid:durableId="526601017">
    <w:abstractNumId w:val="2"/>
  </w:num>
  <w:num w:numId="4" w16cid:durableId="123963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4A15"/>
    <w:rsid w:val="000452E8"/>
    <w:rsid w:val="00072B77"/>
    <w:rsid w:val="000A751F"/>
    <w:rsid w:val="000B745A"/>
    <w:rsid w:val="000D2E20"/>
    <w:rsid w:val="000D651A"/>
    <w:rsid w:val="00143D9A"/>
    <w:rsid w:val="001C036C"/>
    <w:rsid w:val="001D790D"/>
    <w:rsid w:val="00247E2E"/>
    <w:rsid w:val="002B7EB4"/>
    <w:rsid w:val="00330511"/>
    <w:rsid w:val="003740B2"/>
    <w:rsid w:val="00383899"/>
    <w:rsid w:val="00384B28"/>
    <w:rsid w:val="00443B75"/>
    <w:rsid w:val="004451C2"/>
    <w:rsid w:val="004728F1"/>
    <w:rsid w:val="004A059B"/>
    <w:rsid w:val="004D63FD"/>
    <w:rsid w:val="0056492E"/>
    <w:rsid w:val="00577E80"/>
    <w:rsid w:val="005A38C1"/>
    <w:rsid w:val="005E79AC"/>
    <w:rsid w:val="005F02B6"/>
    <w:rsid w:val="005F0342"/>
    <w:rsid w:val="00610216"/>
    <w:rsid w:val="00620C09"/>
    <w:rsid w:val="006619EB"/>
    <w:rsid w:val="00686ACF"/>
    <w:rsid w:val="00710B8B"/>
    <w:rsid w:val="00751274"/>
    <w:rsid w:val="007838F8"/>
    <w:rsid w:val="007B0807"/>
    <w:rsid w:val="007C2F14"/>
    <w:rsid w:val="008124FD"/>
    <w:rsid w:val="00844A15"/>
    <w:rsid w:val="008462D2"/>
    <w:rsid w:val="00864848"/>
    <w:rsid w:val="0088192A"/>
    <w:rsid w:val="008D3B43"/>
    <w:rsid w:val="00935072"/>
    <w:rsid w:val="009A7734"/>
    <w:rsid w:val="009B4812"/>
    <w:rsid w:val="00A03B09"/>
    <w:rsid w:val="00A04478"/>
    <w:rsid w:val="00A24471"/>
    <w:rsid w:val="00AA1EF5"/>
    <w:rsid w:val="00AC1338"/>
    <w:rsid w:val="00AE5466"/>
    <w:rsid w:val="00B74433"/>
    <w:rsid w:val="00BC689E"/>
    <w:rsid w:val="00C81D24"/>
    <w:rsid w:val="00CB57EA"/>
    <w:rsid w:val="00D06A1C"/>
    <w:rsid w:val="00DC4AA4"/>
    <w:rsid w:val="00DF0017"/>
    <w:rsid w:val="00E152A7"/>
    <w:rsid w:val="00EC361A"/>
    <w:rsid w:val="00ED58D1"/>
    <w:rsid w:val="00ED7AD6"/>
    <w:rsid w:val="00EE0E68"/>
    <w:rsid w:val="00EE32D0"/>
    <w:rsid w:val="00F370AD"/>
    <w:rsid w:val="00F85453"/>
    <w:rsid w:val="00FB6952"/>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character" w:styleId="FollowedHyperlink">
    <w:name w:val="FollowedHyperlink"/>
    <w:basedOn w:val="DefaultParagraphFont"/>
    <w:uiPriority w:val="99"/>
    <w:semiHidden/>
    <w:unhideWhenUsed/>
    <w:rsid w:val="00A044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linetec.com/" TargetMode="External"/><Relationship Id="rId13" Type="http://schemas.openxmlformats.org/officeDocument/2006/relationships/hyperlink" Target="https://www.usgbc.org/" TargetMode="External"/><Relationship Id="rId18" Type="http://schemas.openxmlformats.org/officeDocument/2006/relationships/hyperlink" Target="https://www.ai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gbc.org/" TargetMode="External"/><Relationship Id="rId7" Type="http://schemas.openxmlformats.org/officeDocument/2006/relationships/endnotes" Target="endnotes.xml"/><Relationship Id="rId12" Type="http://schemas.openxmlformats.org/officeDocument/2006/relationships/hyperlink" Target="https://www.csiresources.org/" TargetMode="External"/><Relationship Id="rId17" Type="http://schemas.openxmlformats.org/officeDocument/2006/relationships/hyperlink" Target="https://www.anodizin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etec.com/" TargetMode="External"/><Relationship Id="rId20" Type="http://schemas.openxmlformats.org/officeDocument/2006/relationships/hyperlink" Target="https://www.gla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today.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netec.com/" TargetMode="External"/><Relationship Id="rId23" Type="http://schemas.openxmlformats.org/officeDocument/2006/relationships/header" Target="header1.xml"/><Relationship Id="rId10" Type="http://schemas.openxmlformats.org/officeDocument/2006/relationships/hyperlink" Target="https://www.aia.org/" TargetMode="External"/><Relationship Id="rId19"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https://learn.linetec.com/" TargetMode="External"/><Relationship Id="rId14" Type="http://schemas.openxmlformats.org/officeDocument/2006/relationships/hyperlink" Target="http://learn.linetec.com/" TargetMode="External"/><Relationship Id="rId22" Type="http://schemas.openxmlformats.org/officeDocument/2006/relationships/hyperlink" Target="https://www.apo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fm/xhbj_7f57v52z3_bc1xzmlxh0000gn/T/com.microsoft.Outlook/Outlook%20Temp/Linet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Linetec Letterhead.dotx</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5</cp:revision>
  <cp:lastPrinted>2021-07-22T15:06:00Z</cp:lastPrinted>
  <dcterms:created xsi:type="dcterms:W3CDTF">2022-04-29T19:22:00Z</dcterms:created>
  <dcterms:modified xsi:type="dcterms:W3CDTF">2022-06-08T14:16:00Z</dcterms:modified>
</cp:coreProperties>
</file>