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FF594C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June 24</w:t>
      </w:r>
      <w:r w:rsidR="00456CB5" w:rsidRPr="009F64C7">
        <w:rPr>
          <w:b w:val="0"/>
          <w:color w:val="auto"/>
          <w:sz w:val="20"/>
          <w:szCs w:val="24"/>
          <w:highlight w:val="yellow"/>
        </w:rPr>
        <w:t>,</w:t>
      </w:r>
      <w:r w:rsidR="00622F78" w:rsidRPr="009F64C7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509C1" w:rsidRDefault="00486F28" w:rsidP="009509C1">
      <w:pPr>
        <w:jc w:val="center"/>
        <w:rPr>
          <w:b/>
          <w:sz w:val="32"/>
          <w:szCs w:val="32"/>
        </w:rPr>
      </w:pPr>
      <w:r w:rsidRPr="009F64C7">
        <w:rPr>
          <w:b/>
          <w:sz w:val="32"/>
          <w:szCs w:val="32"/>
        </w:rPr>
        <w:t xml:space="preserve">AAMA Releases </w:t>
      </w:r>
      <w:r w:rsidR="003D48ED" w:rsidRPr="009F64C7">
        <w:rPr>
          <w:b/>
          <w:sz w:val="32"/>
          <w:szCs w:val="32"/>
        </w:rPr>
        <w:t xml:space="preserve">Updated </w:t>
      </w:r>
      <w:r w:rsidR="003F485E">
        <w:rPr>
          <w:b/>
          <w:sz w:val="32"/>
          <w:szCs w:val="32"/>
        </w:rPr>
        <w:t xml:space="preserve">Aluminum </w:t>
      </w:r>
      <w:r w:rsidR="006F44F4">
        <w:rPr>
          <w:b/>
          <w:sz w:val="32"/>
          <w:szCs w:val="32"/>
        </w:rPr>
        <w:t>Finishes</w:t>
      </w:r>
      <w:r w:rsidR="003F485E">
        <w:rPr>
          <w:b/>
          <w:sz w:val="32"/>
          <w:szCs w:val="32"/>
        </w:rPr>
        <w:t xml:space="preserve"> </w:t>
      </w:r>
      <w:r w:rsidR="0060760A" w:rsidRPr="009F64C7">
        <w:rPr>
          <w:b/>
          <w:sz w:val="32"/>
          <w:szCs w:val="32"/>
        </w:rPr>
        <w:t xml:space="preserve">Documents </w:t>
      </w:r>
      <w:r w:rsidR="0060760A" w:rsidRPr="009F64C7">
        <w:rPr>
          <w:b/>
          <w:sz w:val="32"/>
          <w:szCs w:val="32"/>
        </w:rPr>
        <w:br/>
      </w:r>
    </w:p>
    <w:p w:rsidR="00BA6E40" w:rsidRPr="009F64C7" w:rsidRDefault="00011F50" w:rsidP="00BA6E40">
      <w:pPr>
        <w:rPr>
          <w:rFonts w:cs="Arial"/>
          <w:sz w:val="20"/>
          <w:highlight w:val="yellow"/>
        </w:rPr>
      </w:pPr>
      <w:r w:rsidRPr="00D34FFF">
        <w:rPr>
          <w:rFonts w:cs="Arial"/>
          <w:color w:val="auto"/>
          <w:sz w:val="20"/>
        </w:rPr>
        <w:t>SCHAUMBURG, IL—</w:t>
      </w:r>
      <w:r w:rsidRPr="00D34FFF">
        <w:rPr>
          <w:rFonts w:cs="Arial"/>
          <w:sz w:val="20"/>
        </w:rPr>
        <w:t>The American Architectural Manufacturers Associatio</w:t>
      </w:r>
      <w:r w:rsidR="008E25DE" w:rsidRPr="00D34FFF">
        <w:rPr>
          <w:rFonts w:cs="Arial"/>
          <w:sz w:val="20"/>
        </w:rPr>
        <w:t>n (AAMA) has</w:t>
      </w:r>
      <w:r w:rsidR="008A0C7C" w:rsidRPr="00D34FFF">
        <w:rPr>
          <w:rFonts w:cs="Arial"/>
          <w:sz w:val="20"/>
        </w:rPr>
        <w:t xml:space="preserve"> updated and</w:t>
      </w:r>
      <w:r w:rsidR="00221E43" w:rsidRPr="00D34FFF">
        <w:rPr>
          <w:rFonts w:cs="Arial"/>
          <w:sz w:val="20"/>
        </w:rPr>
        <w:t xml:space="preserve"> released</w:t>
      </w:r>
      <w:r w:rsidR="008E25DE" w:rsidRPr="00D34FFF">
        <w:rPr>
          <w:rFonts w:cs="Arial"/>
          <w:sz w:val="20"/>
        </w:rPr>
        <w:t xml:space="preserve"> </w:t>
      </w:r>
      <w:r w:rsidR="00DC6FEA">
        <w:rPr>
          <w:rFonts w:cs="Arial"/>
          <w:sz w:val="20"/>
        </w:rPr>
        <w:t>two</w:t>
      </w:r>
      <w:r w:rsidR="00D34FFF" w:rsidRPr="00D34FFF">
        <w:rPr>
          <w:rFonts w:cs="Arial"/>
          <w:sz w:val="20"/>
        </w:rPr>
        <w:t xml:space="preserve"> documents</w:t>
      </w:r>
      <w:r w:rsidR="00DC6FEA">
        <w:rPr>
          <w:rFonts w:cs="Arial"/>
          <w:sz w:val="20"/>
        </w:rPr>
        <w:t xml:space="preserve"> </w:t>
      </w:r>
      <w:r w:rsidR="00DC6FEA" w:rsidRPr="009F64C7">
        <w:rPr>
          <w:rFonts w:cs="Arial"/>
          <w:sz w:val="20"/>
        </w:rPr>
        <w:t>specific to aluminum</w:t>
      </w:r>
      <w:r w:rsidR="009F64C7" w:rsidRPr="009F64C7">
        <w:rPr>
          <w:rFonts w:cs="Arial"/>
          <w:sz w:val="20"/>
        </w:rPr>
        <w:t xml:space="preserve"> </w:t>
      </w:r>
      <w:r w:rsidR="006F44F4">
        <w:rPr>
          <w:rFonts w:cs="Arial"/>
          <w:sz w:val="20"/>
        </w:rPr>
        <w:t>finishes</w:t>
      </w:r>
      <w:r w:rsidR="009F64C7" w:rsidRPr="009F64C7">
        <w:rPr>
          <w:rFonts w:cs="Arial"/>
          <w:sz w:val="20"/>
        </w:rPr>
        <w:t xml:space="preserve">: </w:t>
      </w:r>
      <w:r w:rsidR="00CF7097" w:rsidRPr="009F64C7">
        <w:rPr>
          <w:rFonts w:cs="Arial"/>
          <w:sz w:val="20"/>
        </w:rPr>
        <w:t xml:space="preserve">AAMA </w:t>
      </w:r>
      <w:r w:rsidR="009F64C7" w:rsidRPr="009F64C7">
        <w:rPr>
          <w:rFonts w:cs="Arial"/>
          <w:sz w:val="20"/>
        </w:rPr>
        <w:t>612</w:t>
      </w:r>
      <w:r w:rsidR="00DC6FEA" w:rsidRPr="009F64C7">
        <w:rPr>
          <w:rFonts w:cs="Arial"/>
          <w:sz w:val="20"/>
        </w:rPr>
        <w:t>-15,</w:t>
      </w:r>
      <w:r w:rsidR="00D34FFF" w:rsidRPr="009F64C7">
        <w:rPr>
          <w:rFonts w:cs="Arial"/>
          <w:sz w:val="20"/>
        </w:rPr>
        <w:t xml:space="preserve"> </w:t>
      </w:r>
      <w:r w:rsidR="009F64C7" w:rsidRPr="009F64C7">
        <w:rPr>
          <w:rFonts w:cs="Arial"/>
          <w:i/>
          <w:sz w:val="20"/>
        </w:rPr>
        <w:t>Voluntary Specification, Performance Requirements, and Test Procedures for Combined Coatings of Anodic Oxide and Transparent Organic Coatings on Architectural Aluminum</w:t>
      </w:r>
      <w:r w:rsidR="009F64C7">
        <w:rPr>
          <w:rFonts w:cs="Arial"/>
          <w:sz w:val="20"/>
        </w:rPr>
        <w:t>, and AAMA 2603</w:t>
      </w:r>
      <w:r w:rsidR="00DC6FEA" w:rsidRPr="009F64C7">
        <w:rPr>
          <w:rFonts w:cs="Arial"/>
          <w:sz w:val="20"/>
        </w:rPr>
        <w:t xml:space="preserve">-15, </w:t>
      </w:r>
      <w:r w:rsidR="009F64C7" w:rsidRPr="009F64C7">
        <w:rPr>
          <w:rFonts w:cs="Arial"/>
          <w:i/>
          <w:sz w:val="20"/>
        </w:rPr>
        <w:t>Voluntary Specification, Performance Requirements and Test Procedures for Pigmented Organic Coatings on Aluminum Extrusions and Panels (with Coil Coating Appendix)</w:t>
      </w:r>
      <w:r w:rsidR="009F64C7">
        <w:rPr>
          <w:rFonts w:cs="Arial"/>
          <w:sz w:val="20"/>
        </w:rPr>
        <w:t>.</w:t>
      </w:r>
    </w:p>
    <w:p w:rsidR="00D34FFF" w:rsidRPr="00FF594C" w:rsidRDefault="00FF594C" w:rsidP="00FF594C">
      <w:pPr>
        <w:rPr>
          <w:rFonts w:eastAsiaTheme="minorHAnsi"/>
          <w:sz w:val="20"/>
        </w:rPr>
      </w:pPr>
      <w:r w:rsidRPr="00FF594C">
        <w:rPr>
          <w:rFonts w:cs="Arial"/>
          <w:sz w:val="20"/>
        </w:rPr>
        <w:t xml:space="preserve">AAMA 612 </w:t>
      </w:r>
      <w:r w:rsidRPr="00FF594C">
        <w:rPr>
          <w:rFonts w:eastAsiaTheme="minorHAnsi"/>
          <w:sz w:val="20"/>
        </w:rPr>
        <w:t>describes test procedures and performance requirements for architectural quality combined</w:t>
      </w:r>
      <w:r>
        <w:rPr>
          <w:rFonts w:eastAsiaTheme="minorHAnsi"/>
          <w:sz w:val="20"/>
        </w:rPr>
        <w:t xml:space="preserve"> </w:t>
      </w:r>
      <w:r w:rsidR="00B965A3">
        <w:rPr>
          <w:rFonts w:eastAsiaTheme="minorHAnsi"/>
          <w:sz w:val="20"/>
        </w:rPr>
        <w:t>finishes</w:t>
      </w:r>
      <w:r w:rsidRPr="00FF594C">
        <w:rPr>
          <w:rFonts w:eastAsiaTheme="minorHAnsi"/>
          <w:sz w:val="20"/>
        </w:rPr>
        <w:t xml:space="preserve"> of anodic oxide </w:t>
      </w:r>
      <w:r w:rsidR="00B965A3">
        <w:rPr>
          <w:rFonts w:eastAsiaTheme="minorHAnsi"/>
          <w:sz w:val="20"/>
        </w:rPr>
        <w:t>sealed with a</w:t>
      </w:r>
      <w:r>
        <w:rPr>
          <w:rFonts w:eastAsiaTheme="minorHAnsi"/>
          <w:sz w:val="20"/>
        </w:rPr>
        <w:t xml:space="preserve"> transparent organic coating, commonly </w:t>
      </w:r>
      <w:r w:rsidRPr="00FF594C">
        <w:rPr>
          <w:rFonts w:eastAsiaTheme="minorHAnsi"/>
          <w:sz w:val="20"/>
        </w:rPr>
        <w:t>referred to as th</w:t>
      </w:r>
      <w:r>
        <w:rPr>
          <w:rFonts w:eastAsiaTheme="minorHAnsi"/>
          <w:sz w:val="20"/>
        </w:rPr>
        <w:t xml:space="preserve">e “combined coatings,” applied </w:t>
      </w:r>
      <w:r w:rsidRPr="00FF594C">
        <w:rPr>
          <w:rFonts w:eastAsiaTheme="minorHAnsi"/>
          <w:sz w:val="20"/>
        </w:rPr>
        <w:t>to aluminum extrusions and panels for architectural products.</w:t>
      </w:r>
      <w:r>
        <w:rPr>
          <w:rFonts w:eastAsiaTheme="minorHAnsi"/>
          <w:sz w:val="20"/>
        </w:rPr>
        <w:t xml:space="preserve"> Similarly, </w:t>
      </w:r>
      <w:r w:rsidRPr="00FF594C">
        <w:rPr>
          <w:rFonts w:cs="Arial"/>
          <w:sz w:val="20"/>
        </w:rPr>
        <w:t>AAMA 2603 covers procedures and requirements for pigmented organic coatings applied to alu</w:t>
      </w:r>
      <w:r>
        <w:rPr>
          <w:rFonts w:cs="Arial"/>
          <w:sz w:val="20"/>
        </w:rPr>
        <w:t xml:space="preserve">minum extrusions and panels. This standard </w:t>
      </w:r>
      <w:r w:rsidRPr="00FF594C">
        <w:rPr>
          <w:rFonts w:cs="Arial"/>
          <w:sz w:val="20"/>
        </w:rPr>
        <w:t xml:space="preserve">covers factory-applied coatings only. </w:t>
      </w:r>
    </w:p>
    <w:p w:rsidR="00D34FFF" w:rsidRPr="00FF594C" w:rsidRDefault="00D34FFF" w:rsidP="00BA6E40">
      <w:pPr>
        <w:rPr>
          <w:rFonts w:cs="Arial"/>
          <w:color w:val="auto"/>
          <w:sz w:val="20"/>
        </w:rPr>
      </w:pPr>
      <w:r w:rsidRPr="00FF594C">
        <w:rPr>
          <w:rFonts w:cs="Arial"/>
          <w:sz w:val="20"/>
        </w:rPr>
        <w:t xml:space="preserve">According to </w:t>
      </w:r>
      <w:r w:rsidRPr="00FF594C">
        <w:rPr>
          <w:rFonts w:cs="Arial"/>
          <w:b/>
          <w:sz w:val="20"/>
        </w:rPr>
        <w:t>Neil C</w:t>
      </w:r>
      <w:r w:rsidR="0060760A" w:rsidRPr="00FF594C">
        <w:rPr>
          <w:rFonts w:cs="Arial"/>
          <w:b/>
          <w:sz w:val="20"/>
        </w:rPr>
        <w:t>hrisman</w:t>
      </w:r>
      <w:r w:rsidR="0060760A" w:rsidRPr="00FF594C">
        <w:rPr>
          <w:rFonts w:cs="Arial"/>
          <w:sz w:val="20"/>
        </w:rPr>
        <w:t xml:space="preserve"> (</w:t>
      </w:r>
      <w:hyperlink r:id="rId10" w:history="1">
        <w:r w:rsidR="0060760A" w:rsidRPr="00FF594C">
          <w:rPr>
            <w:rStyle w:val="Hyperlink"/>
            <w:rFonts w:cs="Arial"/>
            <w:b/>
            <w:sz w:val="20"/>
          </w:rPr>
          <w:t>Spectrum Metal Finishing</w:t>
        </w:r>
      </w:hyperlink>
      <w:r w:rsidR="0060760A" w:rsidRPr="00FF594C">
        <w:rPr>
          <w:rFonts w:cs="Arial"/>
          <w:sz w:val="20"/>
        </w:rPr>
        <w:t>)</w:t>
      </w:r>
      <w:r w:rsidRPr="00FF594C">
        <w:rPr>
          <w:rFonts w:cs="Arial"/>
          <w:sz w:val="20"/>
        </w:rPr>
        <w:t xml:space="preserve">, Chair of the </w:t>
      </w:r>
      <w:r w:rsidR="0060760A" w:rsidRPr="00FF594C">
        <w:rPr>
          <w:rFonts w:cs="Arial"/>
          <w:sz w:val="20"/>
        </w:rPr>
        <w:t xml:space="preserve">AAMA </w:t>
      </w:r>
      <w:r w:rsidR="00C05827" w:rsidRPr="00FF594C">
        <w:rPr>
          <w:rFonts w:cs="Arial"/>
          <w:sz w:val="20"/>
        </w:rPr>
        <w:t>Aluminum Material Council (</w:t>
      </w:r>
      <w:r w:rsidR="0060760A" w:rsidRPr="00FF594C">
        <w:rPr>
          <w:rFonts w:cs="Arial"/>
          <w:sz w:val="20"/>
        </w:rPr>
        <w:t>AMC</w:t>
      </w:r>
      <w:r w:rsidR="00C05827" w:rsidRPr="00FF594C">
        <w:rPr>
          <w:rFonts w:cs="Arial"/>
          <w:sz w:val="20"/>
        </w:rPr>
        <w:t>)</w:t>
      </w:r>
      <w:r w:rsidR="0060760A" w:rsidRPr="00FF594C">
        <w:rPr>
          <w:rFonts w:cs="Arial"/>
          <w:sz w:val="20"/>
        </w:rPr>
        <w:t xml:space="preserve"> Finishes Committee</w:t>
      </w:r>
      <w:r w:rsidRPr="00FF594C">
        <w:rPr>
          <w:rFonts w:cs="Arial"/>
          <w:sz w:val="20"/>
        </w:rPr>
        <w:t xml:space="preserve">, </w:t>
      </w:r>
      <w:r w:rsidR="00FF594C" w:rsidRPr="00FF594C">
        <w:rPr>
          <w:rFonts w:cs="Arial"/>
          <w:sz w:val="20"/>
        </w:rPr>
        <w:t xml:space="preserve">both of these documents needed to be updated per the group’s commitment to keeping up with the latest developments in the industry and in </w:t>
      </w:r>
      <w:r w:rsidR="00B965A3">
        <w:rPr>
          <w:rFonts w:cs="Arial"/>
          <w:sz w:val="20"/>
        </w:rPr>
        <w:t xml:space="preserve">finishes </w:t>
      </w:r>
      <w:r w:rsidR="00FF594C" w:rsidRPr="00FF594C">
        <w:rPr>
          <w:rFonts w:cs="Arial"/>
          <w:sz w:val="20"/>
        </w:rPr>
        <w:t>tech</w:t>
      </w:r>
      <w:r w:rsidR="00B965A3">
        <w:rPr>
          <w:rFonts w:cs="Arial"/>
          <w:sz w:val="20"/>
        </w:rPr>
        <w:t>nology</w:t>
      </w:r>
      <w:r w:rsidR="0060760A" w:rsidRPr="00FF594C">
        <w:rPr>
          <w:rFonts w:cs="Arial"/>
          <w:color w:val="auto"/>
          <w:sz w:val="20"/>
        </w:rPr>
        <w:t>.</w:t>
      </w:r>
    </w:p>
    <w:p w:rsidR="00FF594C" w:rsidRPr="00FF594C" w:rsidRDefault="00FF594C" w:rsidP="00FF594C">
      <w:pPr>
        <w:rPr>
          <w:rFonts w:cs="Arial"/>
          <w:color w:val="auto"/>
          <w:sz w:val="20"/>
          <w:highlight w:val="yellow"/>
        </w:rPr>
      </w:pPr>
      <w:r w:rsidRPr="00FF594C">
        <w:rPr>
          <w:rFonts w:cs="Arial"/>
          <w:color w:val="auto"/>
          <w:sz w:val="20"/>
        </w:rPr>
        <w:t xml:space="preserve">“The changes made to these documents are </w:t>
      </w:r>
      <w:r w:rsidRPr="00FF594C">
        <w:rPr>
          <w:sz w:val="20"/>
        </w:rPr>
        <w:t>a continuation of the AMC Finish</w:t>
      </w:r>
      <w:r w:rsidR="00B965A3">
        <w:rPr>
          <w:sz w:val="20"/>
        </w:rPr>
        <w:t>es</w:t>
      </w:r>
      <w:r w:rsidRPr="00FF594C">
        <w:rPr>
          <w:sz w:val="20"/>
        </w:rPr>
        <w:t xml:space="preserve"> Committee’s plans to address current issues, test methods and bring specifications up to date with current technologies and ASTM standards,” says Chrisman.</w:t>
      </w:r>
    </w:p>
    <w:p w:rsidR="00D449EB" w:rsidRPr="009F64C7" w:rsidRDefault="00C2517F" w:rsidP="00954BF4">
      <w:pPr>
        <w:rPr>
          <w:rFonts w:cs="Arial"/>
          <w:color w:val="auto"/>
          <w:sz w:val="20"/>
        </w:rPr>
      </w:pPr>
      <w:hyperlink r:id="rId11" w:history="1">
        <w:r w:rsidR="009F64C7" w:rsidRPr="009F64C7">
          <w:rPr>
            <w:rStyle w:val="Hyperlink"/>
            <w:rFonts w:cs="Arial"/>
            <w:sz w:val="20"/>
          </w:rPr>
          <w:t>AAMA 612</w:t>
        </w:r>
        <w:r w:rsidR="00D34FFF" w:rsidRPr="009F64C7">
          <w:rPr>
            <w:rStyle w:val="Hyperlink"/>
            <w:rFonts w:cs="Arial"/>
            <w:sz w:val="20"/>
          </w:rPr>
          <w:t>-15</w:t>
        </w:r>
      </w:hyperlink>
      <w:r w:rsidR="00011F50" w:rsidRPr="009F64C7">
        <w:rPr>
          <w:rFonts w:cs="Arial"/>
          <w:color w:val="auto"/>
          <w:sz w:val="20"/>
        </w:rPr>
        <w:t xml:space="preserve">, along with </w:t>
      </w:r>
      <w:hyperlink r:id="rId12" w:history="1">
        <w:r w:rsidR="009F64C7" w:rsidRPr="009F64C7">
          <w:rPr>
            <w:rStyle w:val="Hyperlink"/>
            <w:rFonts w:cs="Arial"/>
            <w:sz w:val="20"/>
          </w:rPr>
          <w:t>AAMA 2603</w:t>
        </w:r>
        <w:r w:rsidR="003167D1" w:rsidRPr="009F64C7">
          <w:rPr>
            <w:rStyle w:val="Hyperlink"/>
            <w:rFonts w:cs="Arial"/>
            <w:sz w:val="20"/>
          </w:rPr>
          <w:t>-15</w:t>
        </w:r>
      </w:hyperlink>
      <w:r w:rsidR="003167D1" w:rsidRPr="009F64C7">
        <w:rPr>
          <w:rFonts w:cs="Arial"/>
          <w:color w:val="auto"/>
          <w:sz w:val="20"/>
        </w:rPr>
        <w:t xml:space="preserve">, as well as </w:t>
      </w:r>
      <w:r w:rsidR="00B965A3">
        <w:rPr>
          <w:rFonts w:cs="Arial"/>
          <w:color w:val="auto"/>
          <w:sz w:val="20"/>
        </w:rPr>
        <w:t xml:space="preserve">all </w:t>
      </w:r>
      <w:r w:rsidR="00011F50" w:rsidRPr="009F64C7">
        <w:rPr>
          <w:rFonts w:cs="Arial"/>
          <w:color w:val="auto"/>
          <w:sz w:val="20"/>
        </w:rPr>
        <w:t xml:space="preserve">other AAMA documents, may be purchased from </w:t>
      </w:r>
      <w:r w:rsidR="00AC6C62" w:rsidRPr="009F64C7">
        <w:rPr>
          <w:rFonts w:cs="Arial"/>
          <w:sz w:val="20"/>
        </w:rPr>
        <w:t>AAMA’s Publication Store</w:t>
      </w:r>
      <w:r w:rsidR="00AC6C62" w:rsidRPr="009F64C7">
        <w:rPr>
          <w:rFonts w:cs="Arial"/>
          <w:color w:val="auto"/>
          <w:sz w:val="20"/>
        </w:rPr>
        <w:t>.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FF594C">
        <w:rPr>
          <w:rFonts w:cs="Arial"/>
          <w:color w:val="auto"/>
          <w:sz w:val="20"/>
        </w:rPr>
        <w:t>More information about AAMA and its activities can be found via the </w:t>
      </w:r>
      <w:hyperlink r:id="rId13" w:history="1">
        <w:r w:rsidRPr="00FF594C">
          <w:rPr>
            <w:rStyle w:val="Hyperlink"/>
            <w:rFonts w:cs="Arial"/>
            <w:sz w:val="20"/>
          </w:rPr>
          <w:t>AAMA Media Relations page</w:t>
        </w:r>
      </w:hyperlink>
      <w:r w:rsidRPr="00FF594C">
        <w:rPr>
          <w:rFonts w:cs="Arial"/>
          <w:color w:val="auto"/>
          <w:sz w:val="20"/>
        </w:rPr>
        <w:t> or on the AAMA website, </w:t>
      </w:r>
      <w:hyperlink r:id="rId14" w:history="1">
        <w:r w:rsidRPr="00FF594C">
          <w:rPr>
            <w:rStyle w:val="Hyperlink"/>
            <w:rFonts w:cs="Arial"/>
            <w:sz w:val="20"/>
          </w:rPr>
          <w:t>www.aamanet.org</w:t>
        </w:r>
      </w:hyperlink>
      <w:r w:rsidRPr="00FF594C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26" w:rsidRDefault="00EE5A26" w:rsidP="000E2A37">
      <w:pPr>
        <w:spacing w:after="0" w:line="240" w:lineRule="auto"/>
      </w:pPr>
      <w:r>
        <w:separator/>
      </w:r>
    </w:p>
  </w:endnote>
  <w:endnote w:type="continuationSeparator" w:id="0">
    <w:p w:rsidR="00EE5A26" w:rsidRDefault="00EE5A26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Pr="002D2F67" w:rsidRDefault="00EE5A26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26" w:rsidRDefault="00EE5A26" w:rsidP="000E2A37">
      <w:pPr>
        <w:spacing w:after="0" w:line="240" w:lineRule="auto"/>
      </w:pPr>
      <w:r>
        <w:separator/>
      </w:r>
    </w:p>
  </w:footnote>
  <w:footnote w:type="continuationSeparator" w:id="0">
    <w:p w:rsidR="00EE5A26" w:rsidRDefault="00EE5A26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C2517F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C251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EE5A26" w:rsidRPr="002D2F67" w:rsidRDefault="00EE5A26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EE5A26" w:rsidRPr="002D2F67" w:rsidRDefault="00EE5A26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EE5A26" w:rsidRPr="002D2F67" w:rsidRDefault="00EE5A26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EE5A26" w:rsidRDefault="00EE5A26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0165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3BE0"/>
    <w:rsid w:val="0007448A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0F68E3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7D5A"/>
    <w:rsid w:val="002008D5"/>
    <w:rsid w:val="00200C41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B088E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A4D"/>
    <w:rsid w:val="003C1B11"/>
    <w:rsid w:val="003C2629"/>
    <w:rsid w:val="003C3C17"/>
    <w:rsid w:val="003C7CD8"/>
    <w:rsid w:val="003D3970"/>
    <w:rsid w:val="003D48ED"/>
    <w:rsid w:val="003F485E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86F28"/>
    <w:rsid w:val="0049615B"/>
    <w:rsid w:val="004A0DE0"/>
    <w:rsid w:val="004C2E32"/>
    <w:rsid w:val="004C612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35C6C"/>
    <w:rsid w:val="0054191B"/>
    <w:rsid w:val="00543D1F"/>
    <w:rsid w:val="00546D29"/>
    <w:rsid w:val="00551DB8"/>
    <w:rsid w:val="00552BDA"/>
    <w:rsid w:val="005559A8"/>
    <w:rsid w:val="00556C92"/>
    <w:rsid w:val="0056454B"/>
    <w:rsid w:val="00582329"/>
    <w:rsid w:val="00584FF3"/>
    <w:rsid w:val="005908AA"/>
    <w:rsid w:val="00594126"/>
    <w:rsid w:val="00596AA9"/>
    <w:rsid w:val="00596BC6"/>
    <w:rsid w:val="005B296D"/>
    <w:rsid w:val="005B315E"/>
    <w:rsid w:val="005B468A"/>
    <w:rsid w:val="005B6A57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47F0"/>
    <w:rsid w:val="0063681A"/>
    <w:rsid w:val="006440B8"/>
    <w:rsid w:val="00644609"/>
    <w:rsid w:val="006571A2"/>
    <w:rsid w:val="006612D5"/>
    <w:rsid w:val="006651F8"/>
    <w:rsid w:val="006656D6"/>
    <w:rsid w:val="00670492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481F"/>
    <w:rsid w:val="006E7A1A"/>
    <w:rsid w:val="006F3424"/>
    <w:rsid w:val="006F44F4"/>
    <w:rsid w:val="006F71A0"/>
    <w:rsid w:val="00701B2E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9370E"/>
    <w:rsid w:val="008957CD"/>
    <w:rsid w:val="008A02E8"/>
    <w:rsid w:val="008A0C7C"/>
    <w:rsid w:val="008A10C4"/>
    <w:rsid w:val="008A3F44"/>
    <w:rsid w:val="008C186A"/>
    <w:rsid w:val="008D3675"/>
    <w:rsid w:val="008D7ECF"/>
    <w:rsid w:val="008E2129"/>
    <w:rsid w:val="008E25DE"/>
    <w:rsid w:val="008E3F1C"/>
    <w:rsid w:val="008E627C"/>
    <w:rsid w:val="008E73ED"/>
    <w:rsid w:val="008F4BC5"/>
    <w:rsid w:val="008F61C8"/>
    <w:rsid w:val="009036C8"/>
    <w:rsid w:val="00915DBF"/>
    <w:rsid w:val="00923526"/>
    <w:rsid w:val="00923767"/>
    <w:rsid w:val="009279C8"/>
    <w:rsid w:val="009509C1"/>
    <w:rsid w:val="009524D9"/>
    <w:rsid w:val="00954BF4"/>
    <w:rsid w:val="009608CD"/>
    <w:rsid w:val="009768E9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C3202"/>
    <w:rsid w:val="009C45FE"/>
    <w:rsid w:val="009C5070"/>
    <w:rsid w:val="009D049E"/>
    <w:rsid w:val="009E235C"/>
    <w:rsid w:val="009E261A"/>
    <w:rsid w:val="009F1D96"/>
    <w:rsid w:val="009F4272"/>
    <w:rsid w:val="009F64C7"/>
    <w:rsid w:val="00A0101F"/>
    <w:rsid w:val="00A04E75"/>
    <w:rsid w:val="00A1375E"/>
    <w:rsid w:val="00A17CE5"/>
    <w:rsid w:val="00A201F2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1A57"/>
    <w:rsid w:val="00A923AF"/>
    <w:rsid w:val="00A95A1B"/>
    <w:rsid w:val="00AA065C"/>
    <w:rsid w:val="00AA44C1"/>
    <w:rsid w:val="00AA4A5B"/>
    <w:rsid w:val="00AB0865"/>
    <w:rsid w:val="00AB0C6F"/>
    <w:rsid w:val="00AB4B5A"/>
    <w:rsid w:val="00AC2235"/>
    <w:rsid w:val="00AC6C62"/>
    <w:rsid w:val="00AD3CD6"/>
    <w:rsid w:val="00AD675A"/>
    <w:rsid w:val="00AE26BB"/>
    <w:rsid w:val="00AE670B"/>
    <w:rsid w:val="00AF7340"/>
    <w:rsid w:val="00AF79DA"/>
    <w:rsid w:val="00B106AB"/>
    <w:rsid w:val="00B22817"/>
    <w:rsid w:val="00B236A3"/>
    <w:rsid w:val="00B30432"/>
    <w:rsid w:val="00B34D87"/>
    <w:rsid w:val="00B410DF"/>
    <w:rsid w:val="00B46E3C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965A3"/>
    <w:rsid w:val="00BA19AB"/>
    <w:rsid w:val="00BA3B40"/>
    <w:rsid w:val="00BA413B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BF7A54"/>
    <w:rsid w:val="00C01817"/>
    <w:rsid w:val="00C05827"/>
    <w:rsid w:val="00C134DD"/>
    <w:rsid w:val="00C22CF8"/>
    <w:rsid w:val="00C242B5"/>
    <w:rsid w:val="00C2517F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C062C"/>
    <w:rsid w:val="00CC3158"/>
    <w:rsid w:val="00CD5539"/>
    <w:rsid w:val="00CD709F"/>
    <w:rsid w:val="00CD7C2B"/>
    <w:rsid w:val="00CE34A9"/>
    <w:rsid w:val="00CE7A8A"/>
    <w:rsid w:val="00CF502E"/>
    <w:rsid w:val="00CF7097"/>
    <w:rsid w:val="00D128F6"/>
    <w:rsid w:val="00D14ACC"/>
    <w:rsid w:val="00D161FE"/>
    <w:rsid w:val="00D20971"/>
    <w:rsid w:val="00D20C89"/>
    <w:rsid w:val="00D31B34"/>
    <w:rsid w:val="00D32C29"/>
    <w:rsid w:val="00D34B69"/>
    <w:rsid w:val="00D34FFF"/>
    <w:rsid w:val="00D378C6"/>
    <w:rsid w:val="00D42408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3DAA"/>
    <w:rsid w:val="00D874DE"/>
    <w:rsid w:val="00DB0972"/>
    <w:rsid w:val="00DB37F2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16BD5"/>
    <w:rsid w:val="00E17758"/>
    <w:rsid w:val="00E17B2D"/>
    <w:rsid w:val="00E2084F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D3FBC"/>
    <w:rsid w:val="00ED6EFE"/>
    <w:rsid w:val="00EE16B0"/>
    <w:rsid w:val="00EE5A26"/>
    <w:rsid w:val="00EE739E"/>
    <w:rsid w:val="00EF23F0"/>
    <w:rsid w:val="00EF3E25"/>
    <w:rsid w:val="00F019B8"/>
    <w:rsid w:val="00F0565D"/>
    <w:rsid w:val="00F13DCB"/>
    <w:rsid w:val="00F17CA1"/>
    <w:rsid w:val="00F21A2D"/>
    <w:rsid w:val="00F22324"/>
    <w:rsid w:val="00F23042"/>
    <w:rsid w:val="00F2458D"/>
    <w:rsid w:val="00F422CD"/>
    <w:rsid w:val="00F428A0"/>
    <w:rsid w:val="00F648F7"/>
    <w:rsid w:val="00F70647"/>
    <w:rsid w:val="00F80F61"/>
    <w:rsid w:val="00F9610F"/>
    <w:rsid w:val="00F969CB"/>
    <w:rsid w:val="00FA04D6"/>
    <w:rsid w:val="00FB6DB4"/>
    <w:rsid w:val="00FD0599"/>
    <w:rsid w:val="00FD168C"/>
    <w:rsid w:val="00FE7162"/>
    <w:rsid w:val="00FF1C4E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aamanet.org/general/1/379/media-re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store.aamanet.org/pubstore/ProductResults.asp?cat=0&amp;src=26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store.aamanet.org/pubstore/ProductResults.asp?cat=0&amp;src=6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pectrumme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48D4-37CD-42AE-91FE-EA5C0F6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mwilliams</cp:lastModifiedBy>
  <cp:revision>2</cp:revision>
  <cp:lastPrinted>2012-12-17T21:57:00Z</cp:lastPrinted>
  <dcterms:created xsi:type="dcterms:W3CDTF">2015-06-23T16:14:00Z</dcterms:created>
  <dcterms:modified xsi:type="dcterms:W3CDTF">2015-06-23T16:14:00Z</dcterms:modified>
</cp:coreProperties>
</file>