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A8A47" w14:textId="77777777" w:rsidR="009675F0" w:rsidRPr="00937F04" w:rsidRDefault="009675F0" w:rsidP="007F6465">
      <w:pPr>
        <w:pStyle w:val="Subtitle"/>
        <w:jc w:val="left"/>
        <w:rPr>
          <w:rFonts w:ascii="Times New Roman" w:hAnsi="Times New Roman"/>
          <w:i/>
          <w:sz w:val="20"/>
          <w:szCs w:val="20"/>
        </w:rPr>
      </w:pPr>
      <w:r w:rsidRPr="00937F04">
        <w:rPr>
          <w:rFonts w:ascii="Times New Roman" w:hAnsi="Times New Roman"/>
          <w:i/>
          <w:sz w:val="20"/>
          <w:szCs w:val="20"/>
        </w:rPr>
        <w:t>Media contact:</w:t>
      </w:r>
      <w:r w:rsidRPr="00937F04">
        <w:rPr>
          <w:rFonts w:ascii="Times New Roman" w:hAnsi="Times New Roman"/>
          <w:i/>
          <w:sz w:val="20"/>
          <w:szCs w:val="20"/>
        </w:rPr>
        <w:tab/>
      </w:r>
      <w:r w:rsidRPr="00937F04">
        <w:rPr>
          <w:rFonts w:ascii="Times New Roman" w:hAnsi="Times New Roman"/>
          <w:i/>
          <w:sz w:val="20"/>
          <w:szCs w:val="20"/>
        </w:rPr>
        <w:tab/>
        <w:t>Heather West, 612-724-8760, heather@heatherwestpr.com</w:t>
      </w:r>
    </w:p>
    <w:p w14:paraId="16D321E2" w14:textId="77777777" w:rsidR="007F6465" w:rsidRPr="007F6465" w:rsidRDefault="007F6465" w:rsidP="007F6465">
      <w:pPr>
        <w:jc w:val="center"/>
        <w:rPr>
          <w:rFonts w:ascii="Helvetica" w:hAnsi="Helvetica"/>
          <w:b/>
          <w:color w:val="000000"/>
          <w:sz w:val="20"/>
        </w:rPr>
      </w:pPr>
    </w:p>
    <w:p w14:paraId="30C39F6A" w14:textId="2002646B" w:rsidR="007F6465" w:rsidRPr="007F6465" w:rsidRDefault="007F6465" w:rsidP="007F6465">
      <w:pPr>
        <w:jc w:val="center"/>
        <w:rPr>
          <w:rFonts w:ascii="Helvetica" w:hAnsi="Helvetica"/>
          <w:b/>
          <w:bCs/>
          <w:sz w:val="30"/>
          <w:szCs w:val="30"/>
          <w:lang w:val="en-CA"/>
        </w:rPr>
      </w:pPr>
      <w:r w:rsidRPr="007F6465">
        <w:rPr>
          <w:rFonts w:ascii="Helvetica" w:hAnsi="Helvetica"/>
          <w:b/>
          <w:bCs/>
          <w:sz w:val="30"/>
          <w:szCs w:val="30"/>
          <w:lang w:val="en-CA"/>
        </w:rPr>
        <w:t>Ontario’s Place des Arts award-winning design unites</w:t>
      </w:r>
    </w:p>
    <w:p w14:paraId="5BC785A4" w14:textId="77777777" w:rsidR="007F6465" w:rsidRPr="007F6465" w:rsidRDefault="007F6465" w:rsidP="007F6465">
      <w:pPr>
        <w:jc w:val="center"/>
        <w:rPr>
          <w:rFonts w:ascii="Helvetica" w:hAnsi="Helvetica"/>
          <w:b/>
          <w:bCs/>
          <w:sz w:val="30"/>
          <w:szCs w:val="30"/>
          <w:lang w:val="en-CA"/>
        </w:rPr>
      </w:pPr>
      <w:r w:rsidRPr="007F6465">
        <w:rPr>
          <w:rFonts w:ascii="Helvetica" w:hAnsi="Helvetica"/>
          <w:b/>
          <w:bCs/>
          <w:sz w:val="30"/>
          <w:szCs w:val="30"/>
          <w:lang w:val="en-CA"/>
        </w:rPr>
        <w:t>seven organizations in one cultural and civic centre</w:t>
      </w:r>
    </w:p>
    <w:p w14:paraId="105EC025" w14:textId="77777777" w:rsidR="007F6465" w:rsidRPr="007F6465" w:rsidRDefault="007F6465" w:rsidP="007F6465">
      <w:pPr>
        <w:jc w:val="center"/>
        <w:rPr>
          <w:rFonts w:ascii="Helvetica" w:hAnsi="Helvetica"/>
          <w:sz w:val="22"/>
          <w:szCs w:val="22"/>
          <w:lang w:val="en-CA"/>
        </w:rPr>
      </w:pPr>
    </w:p>
    <w:p w14:paraId="1DFDFD92" w14:textId="77777777" w:rsidR="007F6465" w:rsidRPr="007F6465" w:rsidRDefault="007F6465" w:rsidP="007F6465">
      <w:pPr>
        <w:jc w:val="center"/>
        <w:rPr>
          <w:rFonts w:ascii="Helvetica" w:hAnsi="Helvetica"/>
          <w:i/>
          <w:iCs/>
          <w:color w:val="000000" w:themeColor="text1"/>
          <w:sz w:val="22"/>
          <w:szCs w:val="22"/>
          <w:lang w:val="en-CA"/>
        </w:rPr>
      </w:pPr>
      <w:r w:rsidRPr="007F6465">
        <w:rPr>
          <w:rFonts w:ascii="Helvetica" w:hAnsi="Helvetica"/>
          <w:i/>
          <w:iCs/>
          <w:sz w:val="22"/>
          <w:szCs w:val="22"/>
          <w:lang w:val="en-CA"/>
        </w:rPr>
        <w:t xml:space="preserve">New facility’s glass and metal façade showcases Alumicor’s high-performance curtainwall, </w:t>
      </w:r>
      <w:r w:rsidRPr="007F6465">
        <w:rPr>
          <w:rFonts w:ascii="Helvetica" w:hAnsi="Helvetica"/>
          <w:i/>
          <w:iCs/>
          <w:color w:val="000000" w:themeColor="text1"/>
          <w:sz w:val="22"/>
          <w:szCs w:val="22"/>
          <w:lang w:val="en-CA"/>
        </w:rPr>
        <w:t>balances transparency</w:t>
      </w:r>
      <w:r w:rsidRPr="007F6465">
        <w:rPr>
          <w:rFonts w:ascii="Helvetica" w:hAnsi="Helvetica"/>
          <w:i/>
          <w:iCs/>
          <w:sz w:val="22"/>
          <w:szCs w:val="22"/>
          <w:lang w:val="en-CA"/>
        </w:rPr>
        <w:t xml:space="preserve">, </w:t>
      </w:r>
      <w:proofErr w:type="gramStart"/>
      <w:r w:rsidRPr="007F6465">
        <w:rPr>
          <w:rFonts w:ascii="Helvetica" w:hAnsi="Helvetica"/>
          <w:i/>
          <w:iCs/>
          <w:sz w:val="22"/>
          <w:szCs w:val="22"/>
          <w:lang w:val="en-CA"/>
        </w:rPr>
        <w:t>daylight</w:t>
      </w:r>
      <w:proofErr w:type="gramEnd"/>
      <w:r w:rsidRPr="007F6465">
        <w:rPr>
          <w:rFonts w:ascii="Helvetica" w:hAnsi="Helvetica"/>
          <w:i/>
          <w:iCs/>
          <w:sz w:val="22"/>
          <w:szCs w:val="22"/>
          <w:lang w:val="en-CA"/>
        </w:rPr>
        <w:t xml:space="preserve"> and comfort</w:t>
      </w:r>
      <w:r w:rsidRPr="007F6465">
        <w:rPr>
          <w:rFonts w:ascii="Helvetica" w:hAnsi="Helvetica"/>
          <w:i/>
          <w:iCs/>
          <w:color w:val="000000" w:themeColor="text1"/>
          <w:sz w:val="22"/>
          <w:szCs w:val="22"/>
          <w:lang w:val="en-CA"/>
        </w:rPr>
        <w:t xml:space="preserve"> </w:t>
      </w:r>
      <w:r w:rsidRPr="007F6465">
        <w:rPr>
          <w:rFonts w:ascii="Helvetica" w:hAnsi="Helvetica"/>
          <w:i/>
          <w:iCs/>
          <w:sz w:val="22"/>
          <w:szCs w:val="22"/>
          <w:lang w:val="en-CA"/>
        </w:rPr>
        <w:t>with a blend of modern and historical style</w:t>
      </w:r>
    </w:p>
    <w:p w14:paraId="056F26A4" w14:textId="77777777" w:rsidR="007F6465" w:rsidRPr="00261D51" w:rsidRDefault="007F6465" w:rsidP="007F6465">
      <w:pPr>
        <w:rPr>
          <w:sz w:val="22"/>
          <w:szCs w:val="22"/>
          <w:lang w:val="en-CA"/>
        </w:rPr>
      </w:pPr>
    </w:p>
    <w:p w14:paraId="142A034D" w14:textId="2306EB98" w:rsidR="007F6465" w:rsidRPr="00261D51" w:rsidRDefault="007F6465" w:rsidP="007F6465">
      <w:pPr>
        <w:rPr>
          <w:color w:val="000000" w:themeColor="text1"/>
          <w:sz w:val="22"/>
          <w:szCs w:val="22"/>
          <w:lang w:val="en-CA"/>
        </w:rPr>
      </w:pPr>
      <w:r w:rsidRPr="00261D51">
        <w:rPr>
          <w:color w:val="000000" w:themeColor="text1"/>
          <w:sz w:val="22"/>
          <w:szCs w:val="22"/>
          <w:lang w:val="en-CA"/>
        </w:rPr>
        <w:t xml:space="preserve">Toronto (April 2023) </w:t>
      </w:r>
      <w:r w:rsidRPr="00261D51">
        <w:rPr>
          <w:color w:val="000000" w:themeColor="text1"/>
          <w:sz w:val="22"/>
          <w:szCs w:val="22"/>
          <w:lang w:val="en-CA"/>
        </w:rPr>
        <w:softHyphen/>
        <w:t>– Hono</w:t>
      </w:r>
      <w:r w:rsidR="00AE095E">
        <w:rPr>
          <w:color w:val="000000" w:themeColor="text1"/>
          <w:sz w:val="22"/>
          <w:szCs w:val="22"/>
          <w:lang w:val="en-CA"/>
        </w:rPr>
        <w:t>u</w:t>
      </w:r>
      <w:r w:rsidRPr="00261D51">
        <w:rPr>
          <w:color w:val="000000" w:themeColor="text1"/>
          <w:sz w:val="22"/>
          <w:szCs w:val="22"/>
          <w:lang w:val="en-CA"/>
        </w:rPr>
        <w:t>red with a 2023 Global Future Design Awards’ gold winner for cultural architecture, La Place des Arts du Grand Sudbury (PdA) also celebrates its one-year anniversary serving as Northern Ontario’s first multidisciplinary art centre focused on French-Canadian culture and community empowerment.</w:t>
      </w:r>
    </w:p>
    <w:p w14:paraId="2ACD4A69" w14:textId="77777777" w:rsidR="007F6465" w:rsidRPr="00261D51" w:rsidRDefault="007F6465" w:rsidP="007F6465">
      <w:pPr>
        <w:rPr>
          <w:color w:val="000000" w:themeColor="text1"/>
          <w:sz w:val="22"/>
          <w:szCs w:val="22"/>
          <w:lang w:val="en-CA"/>
        </w:rPr>
      </w:pPr>
    </w:p>
    <w:p w14:paraId="20AC62C8" w14:textId="77777777" w:rsidR="007F6465" w:rsidRDefault="007F6465" w:rsidP="007F6465">
      <w:pPr>
        <w:rPr>
          <w:color w:val="000000" w:themeColor="text1"/>
          <w:sz w:val="22"/>
          <w:szCs w:val="22"/>
          <w:lang w:val="en-CA"/>
        </w:rPr>
      </w:pPr>
      <w:r w:rsidRPr="00261D51">
        <w:rPr>
          <w:color w:val="000000" w:themeColor="text1"/>
          <w:sz w:val="22"/>
          <w:szCs w:val="22"/>
          <w:lang w:val="en-CA"/>
        </w:rPr>
        <w:t>Helping define the PdA’s award-winning appearance and purposeful presence, Alumicor</w:t>
      </w:r>
      <w:r>
        <w:rPr>
          <w:color w:val="000000" w:themeColor="text1"/>
          <w:sz w:val="22"/>
          <w:szCs w:val="22"/>
          <w:lang w:val="en-CA"/>
        </w:rPr>
        <w:t xml:space="preserve"> provided</w:t>
      </w:r>
      <w:r w:rsidRPr="00261D51">
        <w:rPr>
          <w:color w:val="000000" w:themeColor="text1"/>
          <w:sz w:val="22"/>
          <w:szCs w:val="22"/>
          <w:lang w:val="en-CA"/>
        </w:rPr>
        <w:t xml:space="preserve"> the building enclosure’s custom, aluminum-framed,</w:t>
      </w:r>
      <w:r>
        <w:rPr>
          <w:color w:val="000000" w:themeColor="text1"/>
          <w:sz w:val="22"/>
          <w:szCs w:val="22"/>
          <w:lang w:val="en-CA"/>
        </w:rPr>
        <w:t xml:space="preserve"> </w:t>
      </w:r>
      <w:r w:rsidRPr="00261D51">
        <w:rPr>
          <w:color w:val="000000" w:themeColor="text1"/>
          <w:sz w:val="22"/>
          <w:szCs w:val="22"/>
          <w:lang w:val="en-CA"/>
        </w:rPr>
        <w:t xml:space="preserve">high-performance </w:t>
      </w:r>
      <w:r>
        <w:rPr>
          <w:color w:val="000000" w:themeColor="text1"/>
          <w:sz w:val="22"/>
          <w:szCs w:val="22"/>
          <w:lang w:val="en-CA"/>
        </w:rPr>
        <w:t xml:space="preserve">glazing systems. Alumicor’s ThermaWall 2600 </w:t>
      </w:r>
      <w:r w:rsidRPr="00261D51">
        <w:rPr>
          <w:color w:val="000000" w:themeColor="text1"/>
          <w:sz w:val="22"/>
          <w:szCs w:val="22"/>
          <w:lang w:val="en-CA"/>
        </w:rPr>
        <w:t>curtainwall</w:t>
      </w:r>
      <w:r>
        <w:rPr>
          <w:color w:val="000000" w:themeColor="text1"/>
          <w:sz w:val="22"/>
          <w:szCs w:val="22"/>
          <w:lang w:val="en-CA"/>
        </w:rPr>
        <w:t xml:space="preserve"> and FlushGlaze BF 3400 storefront were paired with complementary</w:t>
      </w:r>
      <w:r w:rsidRPr="00261D51">
        <w:rPr>
          <w:color w:val="000000" w:themeColor="text1"/>
          <w:sz w:val="22"/>
          <w:szCs w:val="22"/>
          <w:lang w:val="en-CA"/>
        </w:rPr>
        <w:t xml:space="preserve"> </w:t>
      </w:r>
      <w:r>
        <w:rPr>
          <w:color w:val="000000" w:themeColor="text1"/>
          <w:sz w:val="22"/>
          <w:szCs w:val="22"/>
          <w:lang w:val="en-CA"/>
        </w:rPr>
        <w:t xml:space="preserve">fixed </w:t>
      </w:r>
      <w:r w:rsidRPr="00261D51">
        <w:rPr>
          <w:color w:val="000000" w:themeColor="text1"/>
          <w:sz w:val="22"/>
          <w:szCs w:val="22"/>
          <w:lang w:val="en-CA"/>
        </w:rPr>
        <w:t>window</w:t>
      </w:r>
      <w:r>
        <w:rPr>
          <w:color w:val="000000" w:themeColor="text1"/>
          <w:sz w:val="22"/>
          <w:szCs w:val="22"/>
          <w:lang w:val="en-CA"/>
        </w:rPr>
        <w:t xml:space="preserve">s. For the PdA’s entrances, </w:t>
      </w:r>
      <w:proofErr w:type="gramStart"/>
      <w:r>
        <w:rPr>
          <w:color w:val="000000" w:themeColor="text1"/>
          <w:sz w:val="22"/>
          <w:szCs w:val="22"/>
          <w:lang w:val="en-CA"/>
        </w:rPr>
        <w:t>vestibules</w:t>
      </w:r>
      <w:proofErr w:type="gramEnd"/>
      <w:r>
        <w:rPr>
          <w:color w:val="000000" w:themeColor="text1"/>
          <w:sz w:val="22"/>
          <w:szCs w:val="22"/>
          <w:lang w:val="en-CA"/>
        </w:rPr>
        <w:t xml:space="preserve"> and terrace balconies, Alumicor supplied its ThermaPorte T400A swing doors and TerraPorte 7600 terrace door</w:t>
      </w:r>
      <w:r w:rsidRPr="00261D51">
        <w:rPr>
          <w:color w:val="000000" w:themeColor="text1"/>
          <w:sz w:val="22"/>
          <w:szCs w:val="22"/>
          <w:lang w:val="en-CA"/>
        </w:rPr>
        <w:t>s.</w:t>
      </w:r>
    </w:p>
    <w:p w14:paraId="105654D2" w14:textId="77777777" w:rsidR="007F6465" w:rsidRDefault="007F6465" w:rsidP="007F6465">
      <w:pPr>
        <w:rPr>
          <w:color w:val="000000" w:themeColor="text1"/>
          <w:sz w:val="22"/>
          <w:szCs w:val="22"/>
          <w:lang w:val="en-CA"/>
        </w:rPr>
      </w:pPr>
    </w:p>
    <w:p w14:paraId="5B00BEAD" w14:textId="77777777" w:rsidR="007F6465" w:rsidRPr="00261D51" w:rsidRDefault="007F6465" w:rsidP="007F6465">
      <w:pPr>
        <w:rPr>
          <w:color w:val="000000" w:themeColor="text1"/>
          <w:sz w:val="22"/>
          <w:szCs w:val="22"/>
          <w:lang w:val="en-CA"/>
        </w:rPr>
      </w:pPr>
      <w:r>
        <w:rPr>
          <w:color w:val="000000" w:themeColor="text1"/>
          <w:sz w:val="22"/>
          <w:szCs w:val="22"/>
          <w:lang w:val="en-CA"/>
        </w:rPr>
        <w:t>T</w:t>
      </w:r>
      <w:r w:rsidRPr="00261D51">
        <w:rPr>
          <w:color w:val="000000" w:themeColor="text1"/>
          <w:sz w:val="22"/>
          <w:szCs w:val="22"/>
          <w:lang w:val="en-CA"/>
        </w:rPr>
        <w:t xml:space="preserve">he </w:t>
      </w:r>
      <w:r>
        <w:rPr>
          <w:color w:val="000000" w:themeColor="text1"/>
          <w:sz w:val="22"/>
          <w:szCs w:val="22"/>
          <w:lang w:val="en-CA"/>
        </w:rPr>
        <w:t xml:space="preserve">glazed </w:t>
      </w:r>
      <w:r w:rsidRPr="00261D51">
        <w:rPr>
          <w:color w:val="000000" w:themeColor="text1"/>
          <w:sz w:val="22"/>
          <w:szCs w:val="22"/>
          <w:lang w:val="en-CA"/>
        </w:rPr>
        <w:t xml:space="preserve">openings </w:t>
      </w:r>
      <w:r>
        <w:rPr>
          <w:color w:val="000000" w:themeColor="text1"/>
          <w:sz w:val="22"/>
          <w:szCs w:val="22"/>
          <w:lang w:val="en-CA"/>
        </w:rPr>
        <w:t xml:space="preserve">were strategically positioned to </w:t>
      </w:r>
      <w:r w:rsidRPr="00261D51">
        <w:rPr>
          <w:color w:val="000000" w:themeColor="text1"/>
          <w:sz w:val="22"/>
          <w:szCs w:val="22"/>
          <w:lang w:val="en-CA"/>
        </w:rPr>
        <w:t xml:space="preserve">optimize </w:t>
      </w:r>
      <w:r>
        <w:rPr>
          <w:color w:val="000000" w:themeColor="text1"/>
          <w:sz w:val="22"/>
          <w:szCs w:val="22"/>
          <w:lang w:val="en-CA"/>
        </w:rPr>
        <w:t xml:space="preserve">the facility’s </w:t>
      </w:r>
      <w:r w:rsidRPr="00261D51">
        <w:rPr>
          <w:color w:val="000000" w:themeColor="text1"/>
          <w:sz w:val="22"/>
          <w:szCs w:val="22"/>
          <w:lang w:val="en-CA"/>
        </w:rPr>
        <w:t>daylighting</w:t>
      </w:r>
      <w:r>
        <w:rPr>
          <w:color w:val="000000" w:themeColor="text1"/>
          <w:sz w:val="22"/>
          <w:szCs w:val="22"/>
          <w:lang w:val="en-CA"/>
        </w:rPr>
        <w:t xml:space="preserve">, </w:t>
      </w:r>
      <w:proofErr w:type="gramStart"/>
      <w:r>
        <w:rPr>
          <w:color w:val="000000" w:themeColor="text1"/>
          <w:sz w:val="22"/>
          <w:szCs w:val="22"/>
          <w:lang w:val="en-CA"/>
        </w:rPr>
        <w:t>views</w:t>
      </w:r>
      <w:proofErr w:type="gramEnd"/>
      <w:r w:rsidRPr="00261D51">
        <w:rPr>
          <w:color w:val="000000" w:themeColor="text1"/>
          <w:sz w:val="22"/>
          <w:szCs w:val="22"/>
          <w:lang w:val="en-CA"/>
        </w:rPr>
        <w:t xml:space="preserve"> and thermal performance. This helps the PdA </w:t>
      </w:r>
      <w:r>
        <w:rPr>
          <w:color w:val="000000" w:themeColor="text1"/>
          <w:sz w:val="22"/>
          <w:szCs w:val="22"/>
          <w:lang w:val="en-CA"/>
        </w:rPr>
        <w:t xml:space="preserve">to </w:t>
      </w:r>
      <w:r w:rsidRPr="00261D51">
        <w:rPr>
          <w:color w:val="000000" w:themeColor="text1"/>
          <w:sz w:val="22"/>
          <w:szCs w:val="22"/>
          <w:lang w:val="en-CA"/>
        </w:rPr>
        <w:t>save energy on heating and cooling the building, and to maintain the year-round comfort for staff and visitors.</w:t>
      </w:r>
    </w:p>
    <w:p w14:paraId="469FCA24" w14:textId="77777777" w:rsidR="007F6465" w:rsidRPr="00261D51" w:rsidRDefault="007F6465" w:rsidP="007F6465">
      <w:pPr>
        <w:rPr>
          <w:color w:val="000000" w:themeColor="text1"/>
          <w:sz w:val="22"/>
          <w:szCs w:val="22"/>
          <w:lang w:val="en-CA"/>
        </w:rPr>
      </w:pPr>
    </w:p>
    <w:p w14:paraId="7B1A9201" w14:textId="77777777" w:rsidR="007F6465" w:rsidRPr="007F4B61" w:rsidRDefault="007F6465" w:rsidP="007F6465">
      <w:pPr>
        <w:rPr>
          <w:b/>
          <w:bCs/>
          <w:i/>
          <w:iCs/>
          <w:color w:val="000000" w:themeColor="text1"/>
          <w:sz w:val="22"/>
          <w:szCs w:val="22"/>
          <w:lang w:val="en-CA"/>
        </w:rPr>
      </w:pPr>
      <w:r w:rsidRPr="007F4B61">
        <w:rPr>
          <w:b/>
          <w:bCs/>
          <w:i/>
          <w:iCs/>
          <w:color w:val="000000" w:themeColor="text1"/>
          <w:sz w:val="22"/>
          <w:szCs w:val="22"/>
          <w:lang w:val="en-CA"/>
        </w:rPr>
        <w:t xml:space="preserve">Culmination of </w:t>
      </w:r>
      <w:r>
        <w:rPr>
          <w:b/>
          <w:bCs/>
          <w:i/>
          <w:iCs/>
          <w:color w:val="000000" w:themeColor="text1"/>
          <w:sz w:val="22"/>
          <w:szCs w:val="22"/>
          <w:lang w:val="en-CA"/>
        </w:rPr>
        <w:t>c</w:t>
      </w:r>
      <w:r w:rsidRPr="007F4B61">
        <w:rPr>
          <w:b/>
          <w:bCs/>
          <w:i/>
          <w:iCs/>
          <w:color w:val="000000" w:themeColor="text1"/>
          <w:sz w:val="22"/>
          <w:szCs w:val="22"/>
          <w:lang w:val="en-CA"/>
        </w:rPr>
        <w:t xml:space="preserve">ollaboration and </w:t>
      </w:r>
      <w:r>
        <w:rPr>
          <w:b/>
          <w:bCs/>
          <w:i/>
          <w:iCs/>
          <w:color w:val="000000" w:themeColor="text1"/>
          <w:sz w:val="22"/>
          <w:szCs w:val="22"/>
          <w:lang w:val="en-CA"/>
        </w:rPr>
        <w:t>c</w:t>
      </w:r>
      <w:r w:rsidRPr="007F4B61">
        <w:rPr>
          <w:b/>
          <w:bCs/>
          <w:i/>
          <w:iCs/>
          <w:color w:val="000000" w:themeColor="text1"/>
          <w:sz w:val="22"/>
          <w:szCs w:val="22"/>
          <w:lang w:val="en-CA"/>
        </w:rPr>
        <w:t>reativity</w:t>
      </w:r>
    </w:p>
    <w:p w14:paraId="456022C7" w14:textId="77777777" w:rsidR="007F6465" w:rsidRPr="00261D51" w:rsidRDefault="007F6465" w:rsidP="007F6465">
      <w:pPr>
        <w:rPr>
          <w:color w:val="000000" w:themeColor="text1"/>
          <w:sz w:val="22"/>
          <w:szCs w:val="22"/>
          <w:lang w:val="en-CA"/>
        </w:rPr>
      </w:pPr>
      <w:r w:rsidRPr="00261D51">
        <w:rPr>
          <w:color w:val="000000" w:themeColor="text1"/>
          <w:sz w:val="22"/>
          <w:szCs w:val="22"/>
          <w:lang w:val="en-CA"/>
        </w:rPr>
        <w:t>Jointly serving as the PdA’s lead design architects, Moriyama &amp; Teshima Architects (MTA) and Bélanger Salach Architecture (BSA) were awarded the project in 2017 by The City of Greater Sudbury. MTA and BSA gathered input from and built consensus among the seven contributing organizations of Regroupement des organismesculturels de Sudbury (ROCS). Drawing from a 400-year Franco-Ontarian history and aligning wit</w:t>
      </w:r>
      <w:r w:rsidRPr="00261D51">
        <w:rPr>
          <w:color w:val="000000" w:themeColor="text1"/>
          <w:sz w:val="22"/>
          <w:szCs w:val="22"/>
        </w:rPr>
        <w:t>h the Greater Sudbury Downtown Revitalization Masterplan, t</w:t>
      </w:r>
      <w:r w:rsidRPr="00261D51">
        <w:rPr>
          <w:color w:val="000000" w:themeColor="text1"/>
          <w:sz w:val="22"/>
          <w:szCs w:val="22"/>
          <w:lang w:val="en-CA"/>
        </w:rPr>
        <w:t xml:space="preserve">he seven distinct organizations agreed to combine efforts, share </w:t>
      </w:r>
      <w:proofErr w:type="gramStart"/>
      <w:r w:rsidRPr="00261D51">
        <w:rPr>
          <w:color w:val="000000" w:themeColor="text1"/>
          <w:sz w:val="22"/>
          <w:szCs w:val="22"/>
          <w:lang w:val="en-CA"/>
        </w:rPr>
        <w:t>resources</w:t>
      </w:r>
      <w:proofErr w:type="gramEnd"/>
      <w:r w:rsidRPr="00261D51">
        <w:rPr>
          <w:color w:val="000000" w:themeColor="text1"/>
          <w:sz w:val="22"/>
          <w:szCs w:val="22"/>
          <w:lang w:val="en-CA"/>
        </w:rPr>
        <w:t xml:space="preserve"> and come together in a centralized common space that benefited all.</w:t>
      </w:r>
    </w:p>
    <w:p w14:paraId="14231439" w14:textId="77777777" w:rsidR="007F6465" w:rsidRPr="00261D51" w:rsidRDefault="007F6465" w:rsidP="007F6465">
      <w:pPr>
        <w:rPr>
          <w:color w:val="000000" w:themeColor="text1"/>
          <w:sz w:val="22"/>
          <w:szCs w:val="22"/>
          <w:lang w:val="en-CA"/>
        </w:rPr>
      </w:pPr>
    </w:p>
    <w:p w14:paraId="20CB7FB6" w14:textId="77777777" w:rsidR="007F6465" w:rsidRPr="00261D51" w:rsidRDefault="007F6465" w:rsidP="007F6465">
      <w:pPr>
        <w:rPr>
          <w:color w:val="000000" w:themeColor="text1"/>
          <w:sz w:val="22"/>
          <w:szCs w:val="22"/>
          <w:lang w:val="en-CA"/>
        </w:rPr>
      </w:pPr>
      <w:r w:rsidRPr="00261D51">
        <w:rPr>
          <w:color w:val="000000" w:themeColor="text1"/>
          <w:sz w:val="22"/>
          <w:szCs w:val="22"/>
          <w:lang w:val="en-CA"/>
        </w:rPr>
        <w:t>While each member of ROCS brought its own perspective, the PdA’s resulting design is greater than the sum of its parts. The facility provides space for various cultural and civic uses, flexibility for current and future needs, and contributes to the neighbourhood’s surrounding urban context.</w:t>
      </w:r>
    </w:p>
    <w:p w14:paraId="39EF3B04" w14:textId="77777777" w:rsidR="007F6465" w:rsidRPr="00261D51" w:rsidRDefault="007F6465" w:rsidP="007F6465">
      <w:pPr>
        <w:rPr>
          <w:color w:val="000000" w:themeColor="text1"/>
          <w:sz w:val="22"/>
          <w:szCs w:val="22"/>
          <w:lang w:val="en-CA"/>
        </w:rPr>
      </w:pPr>
    </w:p>
    <w:p w14:paraId="29B7D063" w14:textId="5DB85D49" w:rsidR="007F6465" w:rsidRDefault="007F6465" w:rsidP="007F6465">
      <w:pPr>
        <w:rPr>
          <w:color w:val="000000" w:themeColor="text1"/>
          <w:sz w:val="22"/>
          <w:szCs w:val="22"/>
        </w:rPr>
      </w:pPr>
      <w:r w:rsidRPr="00261D51">
        <w:rPr>
          <w:color w:val="000000" w:themeColor="text1"/>
          <w:sz w:val="22"/>
          <w:szCs w:val="22"/>
          <w:lang w:val="en-CA"/>
        </w:rPr>
        <w:t>“</w:t>
      </w:r>
      <w:r w:rsidRPr="00261D51">
        <w:rPr>
          <w:color w:val="000000" w:themeColor="text1"/>
          <w:sz w:val="22"/>
          <w:szCs w:val="22"/>
        </w:rPr>
        <w:t>The team effort of developing Place des Arts represents a culmination of creative professionals with one shared vision, successfully producing something that can be enjoyed for generations to come. The concept was to build a new facility in the same way that one would produce a piece of artwork – to understand, conceive, dream and inhabit the possibilities of Place des Arts as a work of collective and expressive art</w:t>
      </w:r>
      <w:r>
        <w:rPr>
          <w:color w:val="000000" w:themeColor="text1"/>
          <w:sz w:val="22"/>
          <w:szCs w:val="22"/>
        </w:rPr>
        <w:t>,</w:t>
      </w:r>
      <w:r w:rsidRPr="00261D51">
        <w:rPr>
          <w:color w:val="000000" w:themeColor="text1"/>
          <w:sz w:val="22"/>
          <w:szCs w:val="22"/>
        </w:rPr>
        <w:t>”</w:t>
      </w:r>
      <w:r>
        <w:rPr>
          <w:color w:val="000000" w:themeColor="text1"/>
          <w:sz w:val="22"/>
          <w:szCs w:val="22"/>
        </w:rPr>
        <w:t xml:space="preserve"> explained MTA.</w:t>
      </w:r>
    </w:p>
    <w:p w14:paraId="04DF9263" w14:textId="0FFFA3C7" w:rsidR="007F6465" w:rsidRDefault="007F6465" w:rsidP="007F6465">
      <w:pPr>
        <w:rPr>
          <w:color w:val="000000" w:themeColor="text1"/>
          <w:sz w:val="22"/>
          <w:szCs w:val="22"/>
        </w:rPr>
      </w:pPr>
    </w:p>
    <w:p w14:paraId="5D3ACB87" w14:textId="77777777" w:rsidR="007F6465" w:rsidRPr="00261D51" w:rsidRDefault="007F6465" w:rsidP="007F6465">
      <w:pPr>
        <w:rPr>
          <w:rStyle w:val="markedcontent"/>
          <w:color w:val="000000" w:themeColor="text1"/>
          <w:sz w:val="22"/>
          <w:szCs w:val="22"/>
        </w:rPr>
      </w:pPr>
    </w:p>
    <w:p w14:paraId="0BC227D5" w14:textId="77777777" w:rsidR="007F6465" w:rsidRDefault="007F6465" w:rsidP="007F6465">
      <w:pPr>
        <w:rPr>
          <w:color w:val="000000" w:themeColor="text1"/>
          <w:sz w:val="22"/>
          <w:szCs w:val="22"/>
        </w:rPr>
      </w:pPr>
    </w:p>
    <w:p w14:paraId="78734C9B" w14:textId="14F376F9" w:rsidR="007F6465" w:rsidRPr="007F6465" w:rsidRDefault="007F6465" w:rsidP="007F6465">
      <w:pPr>
        <w:jc w:val="right"/>
        <w:rPr>
          <w:i/>
          <w:iCs/>
          <w:color w:val="000000" w:themeColor="text1"/>
          <w:sz w:val="18"/>
          <w:szCs w:val="18"/>
        </w:rPr>
      </w:pPr>
      <w:r w:rsidRPr="007F6465">
        <w:rPr>
          <w:i/>
          <w:iCs/>
          <w:color w:val="000000" w:themeColor="text1"/>
          <w:sz w:val="18"/>
          <w:szCs w:val="18"/>
        </w:rPr>
        <w:t>(more)</w:t>
      </w:r>
    </w:p>
    <w:p w14:paraId="2D8CE385" w14:textId="110142FB" w:rsidR="007F6465" w:rsidRDefault="007F6465">
      <w:pPr>
        <w:rPr>
          <w:b/>
          <w:bCs/>
          <w:i/>
          <w:iCs/>
          <w:color w:val="000000" w:themeColor="text1"/>
          <w:sz w:val="22"/>
          <w:szCs w:val="22"/>
        </w:rPr>
      </w:pPr>
      <w:r>
        <w:rPr>
          <w:b/>
          <w:bCs/>
          <w:i/>
          <w:iCs/>
          <w:color w:val="000000" w:themeColor="text1"/>
          <w:sz w:val="22"/>
          <w:szCs w:val="22"/>
        </w:rPr>
        <w:br w:type="page"/>
      </w:r>
    </w:p>
    <w:p w14:paraId="58F7BFD2" w14:textId="77777777" w:rsidR="007F6465" w:rsidRDefault="007F6465" w:rsidP="007F6465">
      <w:pPr>
        <w:rPr>
          <w:b/>
          <w:bCs/>
          <w:i/>
          <w:iCs/>
          <w:color w:val="000000" w:themeColor="text1"/>
          <w:sz w:val="22"/>
          <w:szCs w:val="22"/>
        </w:rPr>
      </w:pPr>
    </w:p>
    <w:p w14:paraId="55DED69E" w14:textId="77777777" w:rsidR="007F6465" w:rsidRDefault="007F6465" w:rsidP="007F6465">
      <w:pPr>
        <w:rPr>
          <w:b/>
          <w:bCs/>
          <w:i/>
          <w:iCs/>
          <w:color w:val="000000" w:themeColor="text1"/>
          <w:sz w:val="22"/>
          <w:szCs w:val="22"/>
        </w:rPr>
      </w:pPr>
    </w:p>
    <w:p w14:paraId="327EBCE5" w14:textId="3386CFCE" w:rsidR="007F6465" w:rsidRPr="007F4B61" w:rsidRDefault="007F6465" w:rsidP="007F6465">
      <w:pPr>
        <w:rPr>
          <w:b/>
          <w:bCs/>
          <w:i/>
          <w:iCs/>
          <w:color w:val="000000" w:themeColor="text1"/>
          <w:sz w:val="22"/>
          <w:szCs w:val="22"/>
        </w:rPr>
      </w:pPr>
      <w:r w:rsidRPr="007F4B61">
        <w:rPr>
          <w:b/>
          <w:bCs/>
          <w:i/>
          <w:iCs/>
          <w:color w:val="000000" w:themeColor="text1"/>
          <w:sz w:val="22"/>
          <w:szCs w:val="22"/>
        </w:rPr>
        <w:t>From concept to construction</w:t>
      </w:r>
    </w:p>
    <w:p w14:paraId="43215E9B" w14:textId="77777777" w:rsidR="007F6465" w:rsidRPr="00261D51" w:rsidRDefault="007F6465" w:rsidP="007F6465">
      <w:pPr>
        <w:rPr>
          <w:color w:val="000000" w:themeColor="text1"/>
          <w:sz w:val="22"/>
          <w:szCs w:val="22"/>
        </w:rPr>
      </w:pPr>
      <w:r w:rsidRPr="00261D51">
        <w:rPr>
          <w:color w:val="000000" w:themeColor="text1"/>
          <w:sz w:val="22"/>
          <w:szCs w:val="22"/>
        </w:rPr>
        <w:t>In May 2018, MTA’s associate, Cathy McMahon, M.Arch., B.E.D.S., OAA, MRAIC, LEED GA, contacted Steve Gusterson, FCSC, CTR and vice president of Alumicor’s pre-construction design in Canada. “The project at that time was in design development, so we had high level discussions. From that point through to the tender process, we had fairly regular conversations and meetings. We worked extensively with the architectural design team throughout the project stages,” said Gusterson.</w:t>
      </w:r>
    </w:p>
    <w:p w14:paraId="723729BC" w14:textId="77777777" w:rsidR="007F6465" w:rsidRPr="00261D51" w:rsidRDefault="007F6465" w:rsidP="007F6465">
      <w:pPr>
        <w:rPr>
          <w:color w:val="000000" w:themeColor="text1"/>
          <w:sz w:val="22"/>
          <w:szCs w:val="22"/>
          <w:lang w:val="en-CA"/>
        </w:rPr>
      </w:pPr>
    </w:p>
    <w:p w14:paraId="494911CC" w14:textId="77777777" w:rsidR="007F6465" w:rsidRPr="00261D51" w:rsidRDefault="007F6465" w:rsidP="007F6465">
      <w:pPr>
        <w:rPr>
          <w:rStyle w:val="apple-converted-space"/>
          <w:color w:val="000000" w:themeColor="text1"/>
          <w:sz w:val="22"/>
          <w:szCs w:val="22"/>
        </w:rPr>
      </w:pPr>
      <w:r w:rsidRPr="00261D51">
        <w:rPr>
          <w:color w:val="000000" w:themeColor="text1"/>
          <w:sz w:val="22"/>
          <w:szCs w:val="22"/>
          <w:lang w:val="en-CA"/>
        </w:rPr>
        <w:t>“</w:t>
      </w:r>
      <w:r w:rsidRPr="00261D51">
        <w:rPr>
          <w:color w:val="000000" w:themeColor="text1"/>
          <w:sz w:val="22"/>
          <w:szCs w:val="22"/>
        </w:rPr>
        <w:t>Alumicor is almost always the basis of design for Division 8 products in MTA’s projects,” said Gusterson. “We have had a collaborative relationship for many years and the MTA team knows they can always count on Alumicor for product application assistance and honest, ethical recommendations. Alumicor ensured the lead was provided to all of our most capable dealers, including Barrie Metro Glass (BMG).</w:t>
      </w:r>
      <w:r w:rsidRPr="00261D51">
        <w:rPr>
          <w:rStyle w:val="apple-converted-space"/>
          <w:color w:val="000000" w:themeColor="text1"/>
          <w:sz w:val="22"/>
          <w:szCs w:val="22"/>
        </w:rPr>
        <w:t>”</w:t>
      </w:r>
    </w:p>
    <w:p w14:paraId="133CACBC" w14:textId="77777777" w:rsidR="007F6465" w:rsidRPr="00261D51" w:rsidRDefault="007F6465" w:rsidP="007F6465">
      <w:pPr>
        <w:rPr>
          <w:rStyle w:val="apple-converted-space"/>
          <w:color w:val="000000" w:themeColor="text1"/>
          <w:sz w:val="22"/>
          <w:szCs w:val="22"/>
        </w:rPr>
      </w:pPr>
    </w:p>
    <w:p w14:paraId="19BB51CF" w14:textId="77777777" w:rsidR="007F6465" w:rsidRPr="00261D51" w:rsidRDefault="007F6465" w:rsidP="007F6465">
      <w:pPr>
        <w:ind w:right="90"/>
        <w:rPr>
          <w:color w:val="000000" w:themeColor="text1"/>
          <w:sz w:val="22"/>
          <w:szCs w:val="22"/>
        </w:rPr>
      </w:pPr>
      <w:r w:rsidRPr="00261D51">
        <w:rPr>
          <w:color w:val="000000" w:themeColor="text1"/>
          <w:sz w:val="22"/>
          <w:szCs w:val="22"/>
        </w:rPr>
        <w:t>BMG’s project manager, estimator and designer, Nelson Vanegas, remembers it was March 2020 when the contract was awarded. He elaborated, “Products were already specified and advised by Alumicor to the consultants during the pre-design of the project. Nonetheless, the assistance of Alumicor was a fundamental part of the project during the production of shop drawings, as well as the installation process.”</w:t>
      </w:r>
    </w:p>
    <w:p w14:paraId="423E3DCD" w14:textId="77777777" w:rsidR="007F6465" w:rsidRPr="00261D51" w:rsidRDefault="007F6465" w:rsidP="007F6465">
      <w:pPr>
        <w:rPr>
          <w:color w:val="000000" w:themeColor="text1"/>
          <w:sz w:val="22"/>
          <w:szCs w:val="22"/>
          <w:lang w:val="en-CA"/>
        </w:rPr>
      </w:pPr>
    </w:p>
    <w:p w14:paraId="68D5C5E0" w14:textId="6265B99C" w:rsidR="007F6465" w:rsidRPr="00261D51" w:rsidRDefault="007F6465" w:rsidP="007F6465">
      <w:pPr>
        <w:rPr>
          <w:color w:val="000000" w:themeColor="text1"/>
          <w:sz w:val="22"/>
          <w:szCs w:val="22"/>
        </w:rPr>
      </w:pPr>
      <w:r w:rsidRPr="00261D51">
        <w:rPr>
          <w:color w:val="000000" w:themeColor="text1"/>
          <w:sz w:val="22"/>
          <w:szCs w:val="22"/>
          <w:lang w:val="en-CA"/>
        </w:rPr>
        <w:t xml:space="preserve">Bringing the design concept to constructed reality, </w:t>
      </w:r>
      <w:r w:rsidRPr="00261D51">
        <w:rPr>
          <w:color w:val="000000" w:themeColor="text1"/>
          <w:sz w:val="22"/>
          <w:szCs w:val="22"/>
        </w:rPr>
        <w:t xml:space="preserve">BMG’s four-person on-site team installed Alumicor’s </w:t>
      </w:r>
      <w:r>
        <w:rPr>
          <w:color w:val="000000" w:themeColor="text1"/>
          <w:sz w:val="22"/>
          <w:szCs w:val="22"/>
        </w:rPr>
        <w:t xml:space="preserve">systems. The majority of the </w:t>
      </w:r>
      <w:r w:rsidRPr="00261D51">
        <w:rPr>
          <w:color w:val="000000" w:themeColor="text1"/>
          <w:sz w:val="22"/>
          <w:szCs w:val="22"/>
        </w:rPr>
        <w:t xml:space="preserve">aluminum </w:t>
      </w:r>
      <w:r>
        <w:rPr>
          <w:color w:val="000000" w:themeColor="text1"/>
          <w:sz w:val="22"/>
          <w:szCs w:val="22"/>
        </w:rPr>
        <w:t xml:space="preserve">framing members was painted in a dark bronze </w:t>
      </w:r>
      <w:r w:rsidRPr="00637E51">
        <w:rPr>
          <w:color w:val="000000" w:themeColor="text1"/>
          <w:sz w:val="22"/>
          <w:szCs w:val="22"/>
          <w:lang w:val="en-CA"/>
        </w:rPr>
        <w:t>colo</w:t>
      </w:r>
      <w:r w:rsidR="00AE095E" w:rsidRPr="00637E51">
        <w:rPr>
          <w:color w:val="000000" w:themeColor="text1"/>
          <w:sz w:val="22"/>
          <w:szCs w:val="22"/>
          <w:lang w:val="en-CA"/>
        </w:rPr>
        <w:t>u</w:t>
      </w:r>
      <w:r w:rsidRPr="00637E51">
        <w:rPr>
          <w:color w:val="000000" w:themeColor="text1"/>
          <w:sz w:val="22"/>
          <w:szCs w:val="22"/>
          <w:lang w:val="en-CA"/>
        </w:rPr>
        <w:t>r</w:t>
      </w:r>
      <w:r>
        <w:rPr>
          <w:color w:val="000000" w:themeColor="text1"/>
          <w:sz w:val="22"/>
          <w:szCs w:val="22"/>
        </w:rPr>
        <w:t xml:space="preserve">, framing </w:t>
      </w:r>
      <w:r w:rsidRPr="00261D51">
        <w:rPr>
          <w:color w:val="000000" w:themeColor="text1"/>
          <w:sz w:val="22"/>
          <w:szCs w:val="22"/>
        </w:rPr>
        <w:t xml:space="preserve">Viracon’s low-e, VNE-163 high-performance glass. A boom crane was used to lift and install the largest units on the </w:t>
      </w:r>
      <w:r>
        <w:rPr>
          <w:color w:val="000000" w:themeColor="text1"/>
          <w:sz w:val="22"/>
          <w:szCs w:val="22"/>
        </w:rPr>
        <w:t xml:space="preserve">building’s </w:t>
      </w:r>
      <w:r w:rsidRPr="00261D51">
        <w:rPr>
          <w:color w:val="000000" w:themeColor="text1"/>
          <w:sz w:val="22"/>
          <w:szCs w:val="22"/>
        </w:rPr>
        <w:t>West elevation.</w:t>
      </w:r>
    </w:p>
    <w:p w14:paraId="6C150B7F" w14:textId="77777777" w:rsidR="007F6465" w:rsidRPr="00261D51" w:rsidRDefault="007F6465" w:rsidP="007F6465">
      <w:pPr>
        <w:rPr>
          <w:color w:val="000000" w:themeColor="text1"/>
          <w:sz w:val="22"/>
          <w:szCs w:val="22"/>
          <w:lang w:val="en-CA"/>
        </w:rPr>
      </w:pPr>
    </w:p>
    <w:p w14:paraId="7E670144" w14:textId="77777777" w:rsidR="007F6465" w:rsidRPr="00261D51" w:rsidRDefault="007F6465" w:rsidP="007F6465">
      <w:pPr>
        <w:ind w:right="-90"/>
        <w:rPr>
          <w:color w:val="000000" w:themeColor="text1"/>
          <w:sz w:val="22"/>
          <w:szCs w:val="22"/>
        </w:rPr>
      </w:pPr>
      <w:r w:rsidRPr="00261D51">
        <w:rPr>
          <w:rStyle w:val="markedcontent"/>
          <w:color w:val="000000" w:themeColor="text1"/>
          <w:sz w:val="22"/>
          <w:szCs w:val="22"/>
        </w:rPr>
        <w:t>“</w:t>
      </w:r>
      <w:r w:rsidRPr="00261D51">
        <w:rPr>
          <w:color w:val="000000" w:themeColor="text1"/>
          <w:sz w:val="22"/>
          <w:szCs w:val="22"/>
        </w:rPr>
        <w:t>It was a challenging project due to the time it was built,” BMG’s Vanegas acknowledged. “This project was built during the pandemic, so many challenges came out of that. Fortunately, the project came on budget… Alumicor was a great support during the procurement and commitment to deliveries.”</w:t>
      </w:r>
    </w:p>
    <w:p w14:paraId="50A890E7" w14:textId="77777777" w:rsidR="007F6465" w:rsidRPr="00261D51" w:rsidRDefault="007F6465" w:rsidP="007F6465">
      <w:pPr>
        <w:rPr>
          <w:color w:val="000000" w:themeColor="text1"/>
          <w:sz w:val="22"/>
          <w:szCs w:val="22"/>
        </w:rPr>
      </w:pPr>
    </w:p>
    <w:p w14:paraId="6DCBC9DA" w14:textId="77777777" w:rsidR="007F6465" w:rsidRPr="00261D51" w:rsidRDefault="007F6465" w:rsidP="007F6465">
      <w:pPr>
        <w:rPr>
          <w:color w:val="000000" w:themeColor="text1"/>
          <w:sz w:val="22"/>
          <w:szCs w:val="22"/>
          <w:lang w:val="en-CA"/>
        </w:rPr>
      </w:pPr>
      <w:r w:rsidRPr="00261D51">
        <w:rPr>
          <w:color w:val="000000" w:themeColor="text1"/>
          <w:sz w:val="22"/>
          <w:szCs w:val="22"/>
        </w:rPr>
        <w:t>“It was a great partnership with Alumicor,” added Vanegas. “The building stands out in the area. It provided a new look to Sudbury west downtown.</w:t>
      </w:r>
    </w:p>
    <w:p w14:paraId="3E0BAB87" w14:textId="77777777" w:rsidR="007F6465" w:rsidRPr="00261D51" w:rsidRDefault="007F6465" w:rsidP="007F6465">
      <w:pPr>
        <w:rPr>
          <w:color w:val="000000" w:themeColor="text1"/>
          <w:sz w:val="22"/>
          <w:szCs w:val="22"/>
          <w:lang w:val="en-CA"/>
        </w:rPr>
      </w:pPr>
    </w:p>
    <w:p w14:paraId="60C03348" w14:textId="77777777" w:rsidR="007F6465" w:rsidRDefault="007F6465" w:rsidP="007F6465">
      <w:pPr>
        <w:rPr>
          <w:b/>
          <w:bCs/>
          <w:i/>
          <w:iCs/>
          <w:color w:val="000000" w:themeColor="text1"/>
          <w:sz w:val="22"/>
          <w:szCs w:val="22"/>
          <w:lang w:val="en-CA"/>
        </w:rPr>
      </w:pPr>
      <w:r>
        <w:rPr>
          <w:b/>
          <w:bCs/>
          <w:i/>
          <w:iCs/>
          <w:color w:val="000000" w:themeColor="text1"/>
          <w:sz w:val="22"/>
          <w:szCs w:val="22"/>
          <w:lang w:val="en-CA"/>
        </w:rPr>
        <w:t>Engaging exterior balances design dualities</w:t>
      </w:r>
    </w:p>
    <w:p w14:paraId="487C37CF" w14:textId="77777777" w:rsidR="007F6465" w:rsidRPr="00261D51" w:rsidRDefault="007F6465" w:rsidP="007F6465">
      <w:pPr>
        <w:rPr>
          <w:color w:val="000000" w:themeColor="text1"/>
          <w:sz w:val="22"/>
          <w:szCs w:val="22"/>
          <w:lang w:val="en-CA"/>
        </w:rPr>
      </w:pPr>
      <w:r w:rsidRPr="00261D51">
        <w:rPr>
          <w:color w:val="000000" w:themeColor="text1"/>
          <w:sz w:val="22"/>
          <w:szCs w:val="22"/>
          <w:lang w:val="en-CA"/>
        </w:rPr>
        <w:t>The three-storey, 3,716-m</w:t>
      </w:r>
      <w:r w:rsidRPr="00261D51">
        <w:rPr>
          <w:color w:val="000000" w:themeColor="text1"/>
          <w:sz w:val="22"/>
          <w:szCs w:val="22"/>
          <w:vertAlign w:val="superscript"/>
          <w:lang w:val="en-CA"/>
        </w:rPr>
        <w:t>2</w:t>
      </w:r>
      <w:r w:rsidRPr="00261D51">
        <w:rPr>
          <w:color w:val="000000" w:themeColor="text1"/>
          <w:sz w:val="22"/>
          <w:szCs w:val="22"/>
          <w:lang w:val="en-CA"/>
        </w:rPr>
        <w:t xml:space="preserve"> (40,000-ft</w:t>
      </w:r>
      <w:r w:rsidRPr="00261D51">
        <w:rPr>
          <w:color w:val="000000" w:themeColor="text1"/>
          <w:sz w:val="22"/>
          <w:szCs w:val="22"/>
          <w:vertAlign w:val="superscript"/>
          <w:lang w:val="en-CA"/>
        </w:rPr>
        <w:t>2</w:t>
      </w:r>
      <w:r w:rsidRPr="00261D51">
        <w:rPr>
          <w:color w:val="000000" w:themeColor="text1"/>
          <w:sz w:val="22"/>
          <w:szCs w:val="22"/>
          <w:lang w:val="en-CA"/>
        </w:rPr>
        <w:t xml:space="preserve">) building’s varying heights, angular projections and accessible terraces bridge the natural and built environments, reaching beyond its interior </w:t>
      </w:r>
      <w:proofErr w:type="gramStart"/>
      <w:r w:rsidRPr="00261D51">
        <w:rPr>
          <w:color w:val="000000" w:themeColor="text1"/>
          <w:sz w:val="22"/>
          <w:szCs w:val="22"/>
          <w:lang w:val="en-CA"/>
        </w:rPr>
        <w:t>boundaries</w:t>
      </w:r>
      <w:proofErr w:type="gramEnd"/>
      <w:r w:rsidRPr="00261D51">
        <w:rPr>
          <w:color w:val="000000" w:themeColor="text1"/>
          <w:sz w:val="22"/>
          <w:szCs w:val="22"/>
          <w:lang w:val="en-CA"/>
        </w:rPr>
        <w:t xml:space="preserve"> and engaging with the community. The PdA’s glass and metal façade balances transparency and strength – inviting staff, </w:t>
      </w:r>
      <w:proofErr w:type="gramStart"/>
      <w:r w:rsidRPr="00261D51">
        <w:rPr>
          <w:color w:val="000000" w:themeColor="text1"/>
          <w:sz w:val="22"/>
          <w:szCs w:val="22"/>
          <w:lang w:val="en-CA"/>
        </w:rPr>
        <w:t>visitors</w:t>
      </w:r>
      <w:proofErr w:type="gramEnd"/>
      <w:r w:rsidRPr="00261D51">
        <w:rPr>
          <w:color w:val="000000" w:themeColor="text1"/>
          <w:sz w:val="22"/>
          <w:szCs w:val="22"/>
          <w:lang w:val="en-CA"/>
        </w:rPr>
        <w:t xml:space="preserve"> and passersby to see themselves inside, while providing a sturdy framework to support the creative and cultural work taking place.</w:t>
      </w:r>
    </w:p>
    <w:p w14:paraId="6075D431" w14:textId="77777777" w:rsidR="007F6465" w:rsidRPr="00261D51" w:rsidRDefault="007F6465" w:rsidP="007F6465">
      <w:pPr>
        <w:rPr>
          <w:color w:val="000000" w:themeColor="text1"/>
          <w:sz w:val="22"/>
          <w:szCs w:val="22"/>
          <w:lang w:val="en-CA"/>
        </w:rPr>
      </w:pPr>
    </w:p>
    <w:p w14:paraId="235A4D65" w14:textId="3D61814F" w:rsidR="007F6465" w:rsidRDefault="007F6465" w:rsidP="007F6465">
      <w:pPr>
        <w:ind w:right="90"/>
        <w:rPr>
          <w:color w:val="000000" w:themeColor="text1"/>
          <w:sz w:val="22"/>
          <w:szCs w:val="22"/>
          <w:lang w:val="en-CA"/>
        </w:rPr>
      </w:pPr>
      <w:r w:rsidRPr="00261D51">
        <w:rPr>
          <w:color w:val="000000" w:themeColor="text1"/>
          <w:sz w:val="22"/>
          <w:szCs w:val="22"/>
          <w:lang w:val="en-CA"/>
        </w:rPr>
        <w:t xml:space="preserve">The glass and aluminum’s modern aesthetic intentionally contrast with its </w:t>
      </w:r>
      <w:r w:rsidR="00C70BD8" w:rsidRPr="00261D51">
        <w:rPr>
          <w:color w:val="000000" w:themeColor="text1"/>
          <w:sz w:val="22"/>
          <w:szCs w:val="22"/>
          <w:lang w:val="en-CA"/>
        </w:rPr>
        <w:t xml:space="preserve">brick base and </w:t>
      </w:r>
      <w:r w:rsidRPr="00261D51">
        <w:rPr>
          <w:color w:val="000000" w:themeColor="text1"/>
          <w:sz w:val="22"/>
          <w:szCs w:val="22"/>
          <w:lang w:val="en-CA"/>
        </w:rPr>
        <w:t>historically inspired</w:t>
      </w:r>
      <w:r w:rsidR="00C70BD8">
        <w:rPr>
          <w:color w:val="000000" w:themeColor="text1"/>
          <w:sz w:val="22"/>
          <w:szCs w:val="22"/>
          <w:lang w:val="en-CA"/>
        </w:rPr>
        <w:t>,</w:t>
      </w:r>
      <w:r w:rsidRPr="00261D51">
        <w:rPr>
          <w:color w:val="000000" w:themeColor="text1"/>
          <w:sz w:val="22"/>
          <w:szCs w:val="22"/>
          <w:lang w:val="en-CA"/>
        </w:rPr>
        <w:t xml:space="preserve"> weathered steel</w:t>
      </w:r>
      <w:r w:rsidR="00C70BD8">
        <w:rPr>
          <w:color w:val="000000" w:themeColor="text1"/>
          <w:sz w:val="22"/>
          <w:szCs w:val="22"/>
          <w:lang w:val="en-CA"/>
        </w:rPr>
        <w:t>,</w:t>
      </w:r>
      <w:r w:rsidRPr="00261D51">
        <w:rPr>
          <w:color w:val="000000" w:themeColor="text1"/>
          <w:sz w:val="22"/>
          <w:szCs w:val="22"/>
          <w:lang w:val="en-CA"/>
        </w:rPr>
        <w:t xml:space="preserve"> wall </w:t>
      </w:r>
      <w:r w:rsidR="00C70BD8">
        <w:rPr>
          <w:color w:val="000000" w:themeColor="text1"/>
          <w:sz w:val="22"/>
          <w:szCs w:val="22"/>
          <w:lang w:val="en-CA"/>
        </w:rPr>
        <w:t xml:space="preserve">cladding </w:t>
      </w:r>
      <w:r w:rsidRPr="00261D51">
        <w:rPr>
          <w:color w:val="000000" w:themeColor="text1"/>
          <w:sz w:val="22"/>
          <w:szCs w:val="22"/>
          <w:lang w:val="en-CA"/>
        </w:rPr>
        <w:t>panels</w:t>
      </w:r>
      <w:r w:rsidR="00C70BD8">
        <w:rPr>
          <w:color w:val="000000" w:themeColor="text1"/>
          <w:sz w:val="22"/>
          <w:szCs w:val="22"/>
          <w:lang w:val="en-CA"/>
        </w:rPr>
        <w:t xml:space="preserve"> from Agway Metals Inc</w:t>
      </w:r>
      <w:r w:rsidRPr="00261D51">
        <w:rPr>
          <w:color w:val="000000" w:themeColor="text1"/>
          <w:sz w:val="22"/>
          <w:szCs w:val="22"/>
          <w:lang w:val="en-CA"/>
        </w:rPr>
        <w:t>. The exterior materials convey both permanence and evolution, while the structure’s shifting, interlocking volumes represent the intersecting duality of Franco-Ontarian culture.</w:t>
      </w:r>
    </w:p>
    <w:p w14:paraId="5A57DD41" w14:textId="77777777" w:rsidR="007F6465" w:rsidRDefault="007F6465" w:rsidP="007F6465">
      <w:pPr>
        <w:rPr>
          <w:color w:val="000000" w:themeColor="text1"/>
          <w:sz w:val="22"/>
          <w:szCs w:val="22"/>
          <w:lang w:val="en-CA"/>
        </w:rPr>
      </w:pPr>
    </w:p>
    <w:p w14:paraId="60DC61DC" w14:textId="77777777" w:rsidR="007F6465" w:rsidRDefault="007F6465" w:rsidP="007F6465">
      <w:pPr>
        <w:rPr>
          <w:color w:val="000000" w:themeColor="text1"/>
          <w:sz w:val="22"/>
          <w:szCs w:val="22"/>
        </w:rPr>
      </w:pPr>
    </w:p>
    <w:p w14:paraId="01A3156F" w14:textId="77777777" w:rsidR="007F6465" w:rsidRPr="007F6465" w:rsidRDefault="007F6465" w:rsidP="007F6465">
      <w:pPr>
        <w:jc w:val="right"/>
        <w:rPr>
          <w:i/>
          <w:iCs/>
          <w:color w:val="000000" w:themeColor="text1"/>
          <w:sz w:val="18"/>
          <w:szCs w:val="18"/>
        </w:rPr>
      </w:pPr>
      <w:r w:rsidRPr="007F6465">
        <w:rPr>
          <w:i/>
          <w:iCs/>
          <w:color w:val="000000" w:themeColor="text1"/>
          <w:sz w:val="18"/>
          <w:szCs w:val="18"/>
        </w:rPr>
        <w:t>(more)</w:t>
      </w:r>
    </w:p>
    <w:p w14:paraId="6879F500" w14:textId="77777777" w:rsidR="007F6465" w:rsidRDefault="007F6465" w:rsidP="007F6465">
      <w:pPr>
        <w:rPr>
          <w:b/>
          <w:bCs/>
          <w:i/>
          <w:iCs/>
          <w:color w:val="000000" w:themeColor="text1"/>
          <w:sz w:val="22"/>
          <w:szCs w:val="22"/>
        </w:rPr>
      </w:pPr>
      <w:r>
        <w:rPr>
          <w:b/>
          <w:bCs/>
          <w:i/>
          <w:iCs/>
          <w:color w:val="000000" w:themeColor="text1"/>
          <w:sz w:val="22"/>
          <w:szCs w:val="22"/>
        </w:rPr>
        <w:br w:type="page"/>
      </w:r>
    </w:p>
    <w:p w14:paraId="3625CAEB" w14:textId="77777777" w:rsidR="007F6465" w:rsidRDefault="007F6465" w:rsidP="007F6465">
      <w:pPr>
        <w:rPr>
          <w:color w:val="000000" w:themeColor="text1"/>
          <w:sz w:val="22"/>
          <w:szCs w:val="22"/>
          <w:lang w:val="en-CA"/>
        </w:rPr>
      </w:pPr>
    </w:p>
    <w:p w14:paraId="3F545F7A" w14:textId="77777777" w:rsidR="007F6465" w:rsidRDefault="007F6465" w:rsidP="007F6465">
      <w:pPr>
        <w:rPr>
          <w:color w:val="000000" w:themeColor="text1"/>
          <w:sz w:val="22"/>
          <w:szCs w:val="22"/>
          <w:lang w:val="en-CA"/>
        </w:rPr>
      </w:pPr>
    </w:p>
    <w:p w14:paraId="77CFDDFA" w14:textId="62E67CF3" w:rsidR="007F6465" w:rsidRPr="00261D51" w:rsidRDefault="007F6465" w:rsidP="007F6465">
      <w:pPr>
        <w:rPr>
          <w:color w:val="000000" w:themeColor="text1"/>
          <w:sz w:val="22"/>
          <w:szCs w:val="22"/>
          <w:lang w:val="en-CA"/>
        </w:rPr>
      </w:pPr>
      <w:r w:rsidRPr="00261D51">
        <w:rPr>
          <w:color w:val="000000" w:themeColor="text1"/>
          <w:sz w:val="22"/>
          <w:szCs w:val="22"/>
          <w:lang w:val="en-CA"/>
        </w:rPr>
        <w:t>The aluminum-framed fenestration, metal cladding and masonry reflect the area’s topographical and geological colours, and mining and industrial heritage. The pre-rusted Corten steel panels’ patina changes in response to the community’s unique climate, further enhancing the PdA’s dynamic appearance and programming.</w:t>
      </w:r>
    </w:p>
    <w:p w14:paraId="7C83B814" w14:textId="77777777" w:rsidR="007F6465" w:rsidRPr="00261D51" w:rsidRDefault="007F6465" w:rsidP="007F6465">
      <w:pPr>
        <w:rPr>
          <w:color w:val="000000" w:themeColor="text1"/>
          <w:sz w:val="22"/>
          <w:szCs w:val="22"/>
          <w:lang w:val="en-CA"/>
        </w:rPr>
      </w:pPr>
    </w:p>
    <w:p w14:paraId="6439C5A2" w14:textId="77777777" w:rsidR="007F6465" w:rsidRDefault="007F6465" w:rsidP="007F6465">
      <w:pPr>
        <w:rPr>
          <w:b/>
          <w:bCs/>
          <w:i/>
          <w:iCs/>
          <w:color w:val="000000" w:themeColor="text1"/>
          <w:sz w:val="22"/>
          <w:szCs w:val="22"/>
          <w:lang w:val="en-CA"/>
        </w:rPr>
      </w:pPr>
      <w:r>
        <w:rPr>
          <w:b/>
          <w:bCs/>
          <w:i/>
          <w:iCs/>
          <w:color w:val="000000" w:themeColor="text1"/>
          <w:sz w:val="22"/>
          <w:szCs w:val="22"/>
          <w:lang w:val="en-CA"/>
        </w:rPr>
        <w:t>Inviting interior, inclusive programming</w:t>
      </w:r>
    </w:p>
    <w:p w14:paraId="175FC71F" w14:textId="77777777" w:rsidR="007F6465" w:rsidRPr="00261D51" w:rsidRDefault="007F6465" w:rsidP="007F6465">
      <w:pPr>
        <w:rPr>
          <w:color w:val="000000" w:themeColor="text1"/>
          <w:sz w:val="22"/>
          <w:szCs w:val="22"/>
          <w:lang w:val="en-CA"/>
        </w:rPr>
      </w:pPr>
      <w:r w:rsidRPr="00261D51">
        <w:rPr>
          <w:color w:val="000000" w:themeColor="text1"/>
          <w:sz w:val="22"/>
          <w:szCs w:val="22"/>
          <w:lang w:val="en-CA"/>
        </w:rPr>
        <w:t>Welcoming visitors, the ground level contains a bistro, bar, café and kitchen; a contemporary art gallery, a boutique gift shop, and a salon with meeting rooms available to the public. The third floor also has meeting rooms and collaborative spaces, a library and archives, and a reception area.</w:t>
      </w:r>
    </w:p>
    <w:p w14:paraId="5066BFFC" w14:textId="77777777" w:rsidR="007F6465" w:rsidRPr="00261D51" w:rsidRDefault="007F6465" w:rsidP="007F6465">
      <w:pPr>
        <w:rPr>
          <w:color w:val="000000" w:themeColor="text1"/>
          <w:sz w:val="22"/>
          <w:szCs w:val="22"/>
          <w:lang w:val="en-CA"/>
        </w:rPr>
      </w:pPr>
    </w:p>
    <w:p w14:paraId="10E00A94" w14:textId="77777777" w:rsidR="007F6465" w:rsidRPr="00261D51" w:rsidRDefault="007F6465" w:rsidP="007F6465">
      <w:pPr>
        <w:rPr>
          <w:color w:val="000000" w:themeColor="text1"/>
          <w:sz w:val="22"/>
          <w:szCs w:val="22"/>
          <w:lang w:val="en-CA"/>
        </w:rPr>
      </w:pPr>
      <w:r w:rsidRPr="00261D51">
        <w:rPr>
          <w:color w:val="000000" w:themeColor="text1"/>
          <w:sz w:val="22"/>
          <w:szCs w:val="22"/>
          <w:lang w:val="en-CA"/>
        </w:rPr>
        <w:t>Performing arts areas include a 300-seat theatre, a 120-seat multipurpose black box theatre, rehearsal spaces, green room, costume and dressing rooms, and equipment and control rooms. The second level houses a designated youth studio, areas for children’s summer camps and after-school programs, and a daycare with an outdoor terrace. Social spaces also scheduled and reserved for activities for elderly community members.</w:t>
      </w:r>
    </w:p>
    <w:p w14:paraId="7E02960B" w14:textId="77777777" w:rsidR="007F6465" w:rsidRPr="00261D51" w:rsidRDefault="007F6465" w:rsidP="007F6465">
      <w:pPr>
        <w:rPr>
          <w:color w:val="000000" w:themeColor="text1"/>
          <w:sz w:val="22"/>
          <w:szCs w:val="22"/>
          <w:lang w:val="en-CA"/>
        </w:rPr>
      </w:pPr>
    </w:p>
    <w:p w14:paraId="444332BC" w14:textId="77777777" w:rsidR="007F6465" w:rsidRPr="00261D51" w:rsidRDefault="007F6465" w:rsidP="007F6465">
      <w:pPr>
        <w:rPr>
          <w:color w:val="000000" w:themeColor="text1"/>
          <w:sz w:val="22"/>
          <w:szCs w:val="22"/>
          <w:lang w:val="en-CA"/>
        </w:rPr>
      </w:pPr>
      <w:r w:rsidRPr="00261D51">
        <w:rPr>
          <w:color w:val="000000" w:themeColor="text1"/>
          <w:sz w:val="22"/>
          <w:szCs w:val="22"/>
          <w:lang w:val="en-CA"/>
        </w:rPr>
        <w:t xml:space="preserve">The PdA’s upper floors host the staff cafeteria, an outdoor </w:t>
      </w:r>
      <w:proofErr w:type="gramStart"/>
      <w:r w:rsidRPr="00261D51">
        <w:rPr>
          <w:color w:val="000000" w:themeColor="text1"/>
          <w:sz w:val="22"/>
          <w:szCs w:val="22"/>
          <w:lang w:val="en-CA"/>
        </w:rPr>
        <w:t>terrace</w:t>
      </w:r>
      <w:proofErr w:type="gramEnd"/>
      <w:r w:rsidRPr="00261D51">
        <w:rPr>
          <w:color w:val="000000" w:themeColor="text1"/>
          <w:sz w:val="22"/>
          <w:szCs w:val="22"/>
          <w:lang w:val="en-CA"/>
        </w:rPr>
        <w:t xml:space="preserve"> and the administrative offices for the ROCS’ seven organizations. In 2022, ROCS members moved from their previous locations scattered throughout the Sudbury region into the PdA’s new downtown home and cultural hub.</w:t>
      </w:r>
    </w:p>
    <w:p w14:paraId="60FE312F" w14:textId="77777777" w:rsidR="007F6465" w:rsidRPr="00261D51" w:rsidRDefault="007F6465" w:rsidP="007F6465">
      <w:pPr>
        <w:pStyle w:val="ListParagraph"/>
        <w:numPr>
          <w:ilvl w:val="0"/>
          <w:numId w:val="8"/>
        </w:numPr>
        <w:spacing w:before="2" w:after="2"/>
        <w:rPr>
          <w:rFonts w:ascii="Times New Roman" w:hAnsi="Times New Roman" w:cs="Times New Roman"/>
          <w:color w:val="000000" w:themeColor="text1"/>
          <w:sz w:val="22"/>
          <w:szCs w:val="22"/>
          <w:lang w:val="en-CA"/>
        </w:rPr>
      </w:pPr>
      <w:r w:rsidRPr="00261D51">
        <w:rPr>
          <w:rFonts w:ascii="Times New Roman" w:hAnsi="Times New Roman" w:cs="Times New Roman"/>
          <w:color w:val="000000" w:themeColor="text1"/>
          <w:sz w:val="22"/>
          <w:szCs w:val="22"/>
        </w:rPr>
        <w:t xml:space="preserve">Carrefour francophone de Sudbury is a cultural and community </w:t>
      </w:r>
      <w:r w:rsidRPr="00637E51">
        <w:rPr>
          <w:rFonts w:ascii="Times New Roman" w:hAnsi="Times New Roman" w:cs="Times New Roman"/>
          <w:color w:val="000000" w:themeColor="text1"/>
          <w:sz w:val="22"/>
          <w:szCs w:val="22"/>
          <w:lang w:val="en-CA"/>
        </w:rPr>
        <w:t>centre</w:t>
      </w:r>
      <w:r w:rsidRPr="00261D51">
        <w:rPr>
          <w:rFonts w:ascii="Times New Roman" w:hAnsi="Times New Roman" w:cs="Times New Roman"/>
          <w:color w:val="000000" w:themeColor="text1"/>
          <w:sz w:val="22"/>
          <w:szCs w:val="22"/>
        </w:rPr>
        <w:t>.</w:t>
      </w:r>
    </w:p>
    <w:p w14:paraId="12B1BE94" w14:textId="77777777" w:rsidR="007F6465" w:rsidRPr="00261D51" w:rsidRDefault="007F6465" w:rsidP="007F6465">
      <w:pPr>
        <w:pStyle w:val="ListParagraph"/>
        <w:numPr>
          <w:ilvl w:val="0"/>
          <w:numId w:val="8"/>
        </w:numPr>
        <w:spacing w:before="2" w:after="2"/>
        <w:rPr>
          <w:rFonts w:ascii="Times New Roman" w:hAnsi="Times New Roman" w:cs="Times New Roman"/>
          <w:color w:val="000000" w:themeColor="text1"/>
          <w:sz w:val="22"/>
          <w:szCs w:val="22"/>
          <w:lang w:val="en-CA"/>
        </w:rPr>
      </w:pPr>
      <w:r w:rsidRPr="00261D51">
        <w:rPr>
          <w:rFonts w:ascii="Times New Roman" w:hAnsi="Times New Roman" w:cs="Times New Roman"/>
          <w:color w:val="000000" w:themeColor="text1"/>
          <w:sz w:val="22"/>
          <w:szCs w:val="22"/>
        </w:rPr>
        <w:t>Le Centre franco-ontarien de folklore collects, preserves and enhances Franco-Ontarian oral heritage.</w:t>
      </w:r>
    </w:p>
    <w:p w14:paraId="47E8F9D3" w14:textId="77777777" w:rsidR="007F6465" w:rsidRPr="00261D51" w:rsidRDefault="007F6465" w:rsidP="007F6465">
      <w:pPr>
        <w:pStyle w:val="ListParagraph"/>
        <w:numPr>
          <w:ilvl w:val="0"/>
          <w:numId w:val="8"/>
        </w:numPr>
        <w:spacing w:before="2" w:after="2"/>
        <w:rPr>
          <w:rFonts w:ascii="Times New Roman" w:hAnsi="Times New Roman" w:cs="Times New Roman"/>
          <w:color w:val="000000" w:themeColor="text1"/>
          <w:sz w:val="22"/>
          <w:szCs w:val="22"/>
          <w:lang w:val="en-CA"/>
        </w:rPr>
      </w:pPr>
      <w:r w:rsidRPr="00261D51">
        <w:rPr>
          <w:rFonts w:ascii="Times New Roman" w:hAnsi="Times New Roman" w:cs="Times New Roman"/>
          <w:color w:val="000000" w:themeColor="text1"/>
          <w:sz w:val="22"/>
          <w:szCs w:val="22"/>
        </w:rPr>
        <w:t>Galerie du Nouvel-Ontario is a contemporary art gallery.</w:t>
      </w:r>
    </w:p>
    <w:p w14:paraId="4FC4E71F" w14:textId="77777777" w:rsidR="007F6465" w:rsidRPr="00261D51" w:rsidRDefault="007F6465" w:rsidP="007F6465">
      <w:pPr>
        <w:pStyle w:val="ListParagraph"/>
        <w:numPr>
          <w:ilvl w:val="0"/>
          <w:numId w:val="8"/>
        </w:numPr>
        <w:spacing w:before="2" w:after="2"/>
        <w:rPr>
          <w:rFonts w:ascii="Times New Roman" w:hAnsi="Times New Roman" w:cs="Times New Roman"/>
          <w:color w:val="000000" w:themeColor="text1"/>
          <w:sz w:val="22"/>
          <w:szCs w:val="22"/>
          <w:lang w:val="en-CA"/>
        </w:rPr>
      </w:pPr>
      <w:r w:rsidRPr="00261D51">
        <w:rPr>
          <w:rFonts w:ascii="Times New Roman" w:hAnsi="Times New Roman" w:cs="Times New Roman"/>
          <w:color w:val="000000" w:themeColor="text1"/>
          <w:sz w:val="22"/>
          <w:szCs w:val="22"/>
        </w:rPr>
        <w:t>Éditions Prise de parole is a national publishing house.</w:t>
      </w:r>
    </w:p>
    <w:p w14:paraId="4FE37770" w14:textId="77777777" w:rsidR="007F6465" w:rsidRPr="00261D51" w:rsidRDefault="007F6465" w:rsidP="007F6465">
      <w:pPr>
        <w:pStyle w:val="ListParagraph"/>
        <w:numPr>
          <w:ilvl w:val="0"/>
          <w:numId w:val="8"/>
        </w:numPr>
        <w:spacing w:before="2" w:after="2"/>
        <w:rPr>
          <w:rFonts w:ascii="Times New Roman" w:hAnsi="Times New Roman" w:cs="Times New Roman"/>
          <w:color w:val="000000" w:themeColor="text1"/>
          <w:sz w:val="22"/>
          <w:szCs w:val="22"/>
          <w:lang w:val="en-CA"/>
        </w:rPr>
      </w:pPr>
      <w:r w:rsidRPr="00261D51">
        <w:rPr>
          <w:rFonts w:ascii="Times New Roman" w:hAnsi="Times New Roman" w:cs="Times New Roman"/>
          <w:color w:val="000000" w:themeColor="text1"/>
          <w:sz w:val="22"/>
          <w:szCs w:val="22"/>
        </w:rPr>
        <w:t>Les Concerts La Nuit sur l’Étang is an annual music festival.</w:t>
      </w:r>
    </w:p>
    <w:p w14:paraId="6469E218" w14:textId="77777777" w:rsidR="007F6465" w:rsidRPr="00261D51" w:rsidRDefault="007F6465" w:rsidP="007F6465">
      <w:pPr>
        <w:pStyle w:val="ListParagraph"/>
        <w:numPr>
          <w:ilvl w:val="0"/>
          <w:numId w:val="8"/>
        </w:numPr>
        <w:spacing w:before="2" w:after="2"/>
        <w:rPr>
          <w:rFonts w:ascii="Times New Roman" w:hAnsi="Times New Roman" w:cs="Times New Roman"/>
          <w:color w:val="000000" w:themeColor="text1"/>
          <w:sz w:val="22"/>
          <w:szCs w:val="22"/>
          <w:lang w:val="en-CA"/>
        </w:rPr>
      </w:pPr>
      <w:r w:rsidRPr="00261D51">
        <w:rPr>
          <w:rFonts w:ascii="Times New Roman" w:hAnsi="Times New Roman" w:cs="Times New Roman"/>
          <w:color w:val="000000" w:themeColor="text1"/>
          <w:sz w:val="22"/>
          <w:szCs w:val="22"/>
        </w:rPr>
        <w:t>Théâtre du Nouvel-Ontario stages contemporary works.</w:t>
      </w:r>
    </w:p>
    <w:p w14:paraId="4D13ADD3" w14:textId="77777777" w:rsidR="007F6465" w:rsidRPr="00261D51" w:rsidRDefault="007F6465" w:rsidP="007F6465">
      <w:pPr>
        <w:pStyle w:val="ListParagraph"/>
        <w:numPr>
          <w:ilvl w:val="0"/>
          <w:numId w:val="8"/>
        </w:numPr>
        <w:spacing w:before="2" w:after="2"/>
        <w:rPr>
          <w:rFonts w:ascii="Times New Roman" w:hAnsi="Times New Roman" w:cs="Times New Roman"/>
          <w:color w:val="000000" w:themeColor="text1"/>
          <w:sz w:val="22"/>
          <w:szCs w:val="22"/>
          <w:lang w:val="en-CA"/>
        </w:rPr>
      </w:pPr>
      <w:r w:rsidRPr="00261D51">
        <w:rPr>
          <w:rFonts w:ascii="Times New Roman" w:hAnsi="Times New Roman" w:cs="Times New Roman"/>
          <w:color w:val="000000" w:themeColor="text1"/>
          <w:sz w:val="22"/>
          <w:szCs w:val="22"/>
        </w:rPr>
        <w:t>Le Salon du livre du Grand Sudbury promotes literacy, literature and French-language authors.</w:t>
      </w:r>
    </w:p>
    <w:p w14:paraId="07006234" w14:textId="77777777" w:rsidR="007F6465" w:rsidRPr="00261D51" w:rsidRDefault="007F6465" w:rsidP="007F6465">
      <w:pPr>
        <w:rPr>
          <w:color w:val="000000" w:themeColor="text1"/>
          <w:sz w:val="22"/>
          <w:szCs w:val="22"/>
          <w:lang w:val="en-CA"/>
        </w:rPr>
      </w:pPr>
    </w:p>
    <w:p w14:paraId="34C4239B" w14:textId="77777777" w:rsidR="007F6465" w:rsidRDefault="007F6465" w:rsidP="007F6465">
      <w:pPr>
        <w:rPr>
          <w:rStyle w:val="markedcontent"/>
          <w:b/>
          <w:bCs/>
          <w:i/>
          <w:iCs/>
          <w:color w:val="000000" w:themeColor="text1"/>
          <w:sz w:val="22"/>
          <w:szCs w:val="22"/>
        </w:rPr>
      </w:pPr>
      <w:r>
        <w:rPr>
          <w:rStyle w:val="markedcontent"/>
          <w:b/>
          <w:bCs/>
          <w:i/>
          <w:iCs/>
          <w:color w:val="000000" w:themeColor="text1"/>
          <w:sz w:val="22"/>
          <w:szCs w:val="22"/>
        </w:rPr>
        <w:t>Award-winning architecture at Arts Square</w:t>
      </w:r>
    </w:p>
    <w:p w14:paraId="6396CC6B" w14:textId="77777777" w:rsidR="007F6465" w:rsidRPr="00261D51" w:rsidRDefault="007F6465" w:rsidP="007F6465">
      <w:pPr>
        <w:rPr>
          <w:rStyle w:val="markedcontent"/>
          <w:color w:val="000000" w:themeColor="text1"/>
          <w:sz w:val="22"/>
          <w:szCs w:val="22"/>
        </w:rPr>
      </w:pPr>
      <w:r w:rsidRPr="00261D51">
        <w:rPr>
          <w:rStyle w:val="markedcontent"/>
          <w:color w:val="000000" w:themeColor="text1"/>
          <w:sz w:val="22"/>
          <w:szCs w:val="22"/>
        </w:rPr>
        <w:t xml:space="preserve">Stéphane Gauthier, the PdA’s former board chair and current executive director of </w:t>
      </w:r>
      <w:r w:rsidRPr="00261D51">
        <w:rPr>
          <w:color w:val="000000" w:themeColor="text1"/>
          <w:sz w:val="22"/>
          <w:szCs w:val="22"/>
        </w:rPr>
        <w:t>Carrefour francophone</w:t>
      </w:r>
      <w:r w:rsidRPr="00261D51">
        <w:rPr>
          <w:rStyle w:val="markedcontent"/>
          <w:color w:val="000000" w:themeColor="text1"/>
          <w:sz w:val="22"/>
          <w:szCs w:val="22"/>
        </w:rPr>
        <w:t>, described the project as “crazy beautiful.” He added, “It has been a real collaborative effort to bring the idea to reality.”</w:t>
      </w:r>
    </w:p>
    <w:p w14:paraId="2B2D2048" w14:textId="77777777" w:rsidR="007F6465" w:rsidRPr="00261D51" w:rsidRDefault="007F6465" w:rsidP="007F6465">
      <w:pPr>
        <w:rPr>
          <w:color w:val="000000" w:themeColor="text1"/>
          <w:sz w:val="22"/>
          <w:szCs w:val="22"/>
          <w:lang w:val="en-CA"/>
        </w:rPr>
      </w:pPr>
    </w:p>
    <w:p w14:paraId="7D3C23D9" w14:textId="77777777" w:rsidR="007F6465" w:rsidRPr="00261D51" w:rsidRDefault="007F6465" w:rsidP="007F6465">
      <w:pPr>
        <w:rPr>
          <w:rStyle w:val="markedcontent"/>
          <w:color w:val="000000" w:themeColor="text1"/>
          <w:sz w:val="22"/>
          <w:szCs w:val="22"/>
        </w:rPr>
      </w:pPr>
      <w:r w:rsidRPr="00261D51">
        <w:rPr>
          <w:rStyle w:val="markedcontent"/>
          <w:color w:val="000000" w:themeColor="text1"/>
          <w:sz w:val="22"/>
          <w:szCs w:val="22"/>
        </w:rPr>
        <w:t>After nearly three years of construction and delays due to the pandemic, the PdA opened its doors on April 29, 2022. During the facility’s first year of operation, it presented 125 shows and events, engaging 10,200 attendees and participants. Today, the PdA defines itself as: “A centre of artistic and cultural excellence and a gathering place for Francophones and for the whole community.”</w:t>
      </w:r>
    </w:p>
    <w:p w14:paraId="073836CB" w14:textId="77777777" w:rsidR="007F6465" w:rsidRPr="00261D51" w:rsidRDefault="007F6465" w:rsidP="007F6465">
      <w:pPr>
        <w:rPr>
          <w:rStyle w:val="markedcontent"/>
          <w:color w:val="000000" w:themeColor="text1"/>
          <w:sz w:val="22"/>
          <w:szCs w:val="22"/>
        </w:rPr>
      </w:pPr>
    </w:p>
    <w:p w14:paraId="129AC012" w14:textId="77777777" w:rsidR="007F6465" w:rsidRPr="00261D51" w:rsidRDefault="007F6465" w:rsidP="007F6465">
      <w:pPr>
        <w:ind w:right="-90"/>
        <w:rPr>
          <w:color w:val="000000" w:themeColor="text1"/>
          <w:sz w:val="22"/>
          <w:szCs w:val="22"/>
          <w:lang w:val="en-CA"/>
        </w:rPr>
      </w:pPr>
      <w:r w:rsidRPr="00261D51">
        <w:rPr>
          <w:rStyle w:val="markedcontent"/>
          <w:color w:val="000000" w:themeColor="text1"/>
          <w:sz w:val="22"/>
          <w:szCs w:val="22"/>
        </w:rPr>
        <w:t>Located at the corner of Larch and Elgin Street in downtown Sudbury, the PdA transforms a once vacant city</w:t>
      </w:r>
      <w:r w:rsidRPr="00261D51">
        <w:rPr>
          <w:color w:val="000000" w:themeColor="text1"/>
          <w:sz w:val="22"/>
          <w:szCs w:val="22"/>
        </w:rPr>
        <w:t xml:space="preserve"> </w:t>
      </w:r>
      <w:r w:rsidRPr="00261D51">
        <w:rPr>
          <w:rStyle w:val="markedcontent"/>
          <w:color w:val="000000" w:themeColor="text1"/>
          <w:sz w:val="22"/>
          <w:szCs w:val="22"/>
        </w:rPr>
        <w:t xml:space="preserve">parking lot. </w:t>
      </w:r>
      <w:r w:rsidRPr="00261D51">
        <w:rPr>
          <w:color w:val="000000" w:themeColor="text1"/>
          <w:sz w:val="22"/>
          <w:szCs w:val="22"/>
          <w:lang w:val="en-CA"/>
        </w:rPr>
        <w:t>Now called “Arts Square,” the site now is part of a trio of public amenities along the anticipated Elgin Street Greenway and bike path, linking the western and eastern districts of Sudbury.</w:t>
      </w:r>
    </w:p>
    <w:p w14:paraId="55C74077" w14:textId="77777777" w:rsidR="007F6465" w:rsidRPr="00261D51" w:rsidRDefault="007F6465" w:rsidP="007F6465">
      <w:pPr>
        <w:rPr>
          <w:rStyle w:val="markedcontent"/>
          <w:color w:val="000000" w:themeColor="text1"/>
          <w:sz w:val="22"/>
          <w:szCs w:val="22"/>
        </w:rPr>
      </w:pPr>
    </w:p>
    <w:p w14:paraId="78F26603" w14:textId="77777777" w:rsidR="007F6465" w:rsidRDefault="007F6465" w:rsidP="007F6465">
      <w:pPr>
        <w:rPr>
          <w:color w:val="000000" w:themeColor="text1"/>
          <w:sz w:val="22"/>
          <w:szCs w:val="22"/>
          <w:lang w:val="en-CA"/>
        </w:rPr>
      </w:pPr>
    </w:p>
    <w:p w14:paraId="064075C2" w14:textId="77777777" w:rsidR="007F6465" w:rsidRDefault="007F6465" w:rsidP="007F6465">
      <w:pPr>
        <w:rPr>
          <w:color w:val="000000" w:themeColor="text1"/>
          <w:sz w:val="22"/>
          <w:szCs w:val="22"/>
        </w:rPr>
      </w:pPr>
    </w:p>
    <w:p w14:paraId="71F23FE8" w14:textId="77777777" w:rsidR="007F6465" w:rsidRPr="007F6465" w:rsidRDefault="007F6465" w:rsidP="007F6465">
      <w:pPr>
        <w:jc w:val="right"/>
        <w:rPr>
          <w:i/>
          <w:iCs/>
          <w:color w:val="000000" w:themeColor="text1"/>
          <w:sz w:val="18"/>
          <w:szCs w:val="18"/>
        </w:rPr>
      </w:pPr>
      <w:r w:rsidRPr="007F6465">
        <w:rPr>
          <w:i/>
          <w:iCs/>
          <w:color w:val="000000" w:themeColor="text1"/>
          <w:sz w:val="18"/>
          <w:szCs w:val="18"/>
        </w:rPr>
        <w:t>(more)</w:t>
      </w:r>
    </w:p>
    <w:p w14:paraId="758A9C77" w14:textId="77777777" w:rsidR="007F6465" w:rsidRDefault="007F6465" w:rsidP="007F6465">
      <w:pPr>
        <w:rPr>
          <w:b/>
          <w:bCs/>
          <w:i/>
          <w:iCs/>
          <w:color w:val="000000" w:themeColor="text1"/>
          <w:sz w:val="22"/>
          <w:szCs w:val="22"/>
        </w:rPr>
      </w:pPr>
      <w:r>
        <w:rPr>
          <w:b/>
          <w:bCs/>
          <w:i/>
          <w:iCs/>
          <w:color w:val="000000" w:themeColor="text1"/>
          <w:sz w:val="22"/>
          <w:szCs w:val="22"/>
        </w:rPr>
        <w:br w:type="page"/>
      </w:r>
    </w:p>
    <w:p w14:paraId="0C6DCB62" w14:textId="77777777" w:rsidR="007F6465" w:rsidRDefault="007F6465" w:rsidP="007F6465">
      <w:pPr>
        <w:rPr>
          <w:color w:val="000000" w:themeColor="text1"/>
          <w:sz w:val="22"/>
          <w:szCs w:val="22"/>
          <w:lang w:val="en-CA"/>
        </w:rPr>
      </w:pPr>
    </w:p>
    <w:p w14:paraId="4D54AD94" w14:textId="77777777" w:rsidR="007F6465" w:rsidRDefault="007F6465" w:rsidP="007F6465">
      <w:pPr>
        <w:rPr>
          <w:color w:val="000000" w:themeColor="text1"/>
          <w:sz w:val="22"/>
          <w:szCs w:val="22"/>
          <w:lang w:val="en-CA"/>
        </w:rPr>
      </w:pPr>
    </w:p>
    <w:p w14:paraId="5800EB79" w14:textId="6B203315" w:rsidR="007F6465" w:rsidRPr="00261D51" w:rsidRDefault="007F6465" w:rsidP="007F6465">
      <w:pPr>
        <w:rPr>
          <w:color w:val="000000" w:themeColor="text1"/>
          <w:sz w:val="22"/>
          <w:szCs w:val="22"/>
          <w:lang w:val="en-CA"/>
        </w:rPr>
      </w:pPr>
      <w:r w:rsidRPr="00261D51">
        <w:rPr>
          <w:color w:val="000000" w:themeColor="text1"/>
          <w:sz w:val="22"/>
          <w:szCs w:val="22"/>
          <w:lang w:val="en-CA"/>
        </w:rPr>
        <w:t xml:space="preserve">Recognizing the PdA’s significance, the </w:t>
      </w:r>
      <w:r w:rsidRPr="00261D51">
        <w:rPr>
          <w:color w:val="000000" w:themeColor="text1"/>
          <w:sz w:val="22"/>
          <w:szCs w:val="22"/>
        </w:rPr>
        <w:t xml:space="preserve">Members of Provincial Parliament </w:t>
      </w:r>
      <w:r w:rsidRPr="00261D51">
        <w:rPr>
          <w:color w:val="000000" w:themeColor="text1"/>
          <w:sz w:val="22"/>
          <w:szCs w:val="22"/>
          <w:lang w:val="en-CA"/>
        </w:rPr>
        <w:t>selected the Arts Square project as one of nine outstanding buildings for the Ontario Association of Architects’ 2022 annual Queen’s Park Picks program announced on World Architecture Day. The project and its team also have earned the 2022 Rethinking the Future – Architecture Construction and Design Awards (ACDA) First Award for the Cultural, Built category, and the Architecture Press Release Awards’ 2023 Urban Design &amp; Architecture Award in the Cultural Architecture (Built) category.</w:t>
      </w:r>
    </w:p>
    <w:p w14:paraId="36565D6B" w14:textId="77777777" w:rsidR="007F6465" w:rsidRPr="00261D51" w:rsidRDefault="007F6465" w:rsidP="007F6465">
      <w:pPr>
        <w:rPr>
          <w:sz w:val="22"/>
          <w:szCs w:val="22"/>
          <w:lang w:val="en-CA"/>
        </w:rPr>
      </w:pPr>
    </w:p>
    <w:p w14:paraId="2A4AB142" w14:textId="77777777" w:rsidR="007F6465" w:rsidRDefault="007F6465" w:rsidP="007F6465">
      <w:pPr>
        <w:jc w:val="center"/>
        <w:rPr>
          <w:sz w:val="20"/>
          <w:lang w:val="en-CA"/>
        </w:rPr>
      </w:pPr>
      <w:r w:rsidRPr="00D91489">
        <w:rPr>
          <w:sz w:val="20"/>
          <w:lang w:val="en-CA"/>
        </w:rPr>
        <w:t>**</w:t>
      </w:r>
    </w:p>
    <w:p w14:paraId="0E7EED39" w14:textId="77777777" w:rsidR="007F6465" w:rsidRPr="00D91489" w:rsidRDefault="007F6465" w:rsidP="007F6465">
      <w:pPr>
        <w:jc w:val="center"/>
        <w:rPr>
          <w:sz w:val="20"/>
          <w:lang w:val="en-CA"/>
        </w:rPr>
      </w:pPr>
    </w:p>
    <w:p w14:paraId="365F58AF" w14:textId="77777777" w:rsidR="007F6465" w:rsidRPr="00D91489" w:rsidRDefault="007F6465" w:rsidP="007F6465">
      <w:pPr>
        <w:rPr>
          <w:b/>
          <w:bCs/>
          <w:i/>
          <w:iCs/>
          <w:sz w:val="20"/>
          <w:lang w:val="en-CA"/>
        </w:rPr>
      </w:pPr>
      <w:r w:rsidRPr="00D91489">
        <w:rPr>
          <w:b/>
          <w:bCs/>
          <w:i/>
          <w:iCs/>
          <w:sz w:val="20"/>
        </w:rPr>
        <w:t>La Place des Arts du Grand Sudbury</w:t>
      </w:r>
      <w:r w:rsidRPr="00D91489">
        <w:rPr>
          <w:b/>
          <w:bCs/>
          <w:i/>
          <w:iCs/>
          <w:sz w:val="20"/>
          <w:lang w:val="en-CA"/>
        </w:rPr>
        <w:t>, 27 Larch St., Greater Sudbury, ON P3E 1B7, Canada</w:t>
      </w:r>
      <w:r w:rsidRPr="00D91489">
        <w:rPr>
          <w:b/>
          <w:bCs/>
          <w:i/>
          <w:iCs/>
          <w:sz w:val="20"/>
        </w:rPr>
        <w:t>; https://maplacedesarts.ca/en/</w:t>
      </w:r>
    </w:p>
    <w:p w14:paraId="02D9F52A" w14:textId="77777777" w:rsidR="007F6465" w:rsidRPr="00CE5740" w:rsidRDefault="007F6465" w:rsidP="007F6465">
      <w:pPr>
        <w:pStyle w:val="ListParagraph"/>
        <w:numPr>
          <w:ilvl w:val="0"/>
          <w:numId w:val="9"/>
        </w:numPr>
        <w:spacing w:before="2" w:after="2"/>
        <w:ind w:left="360"/>
        <w:rPr>
          <w:rFonts w:ascii="Times New Roman" w:hAnsi="Times New Roman" w:cs="Times New Roman"/>
          <w:sz w:val="20"/>
          <w:szCs w:val="20"/>
          <w:lang w:val="en-CA"/>
        </w:rPr>
      </w:pPr>
      <w:r w:rsidRPr="00CE5740">
        <w:rPr>
          <w:rFonts w:ascii="Times New Roman" w:hAnsi="Times New Roman" w:cs="Times New Roman"/>
          <w:sz w:val="20"/>
          <w:szCs w:val="20"/>
          <w:lang w:val="en-CA"/>
        </w:rPr>
        <w:t>Owner: The City of Greater Sudbury; Sudbury, Ontario; https://discoversudbury.ca/en/</w:t>
      </w:r>
    </w:p>
    <w:p w14:paraId="7E9EF996" w14:textId="77777777" w:rsidR="007F6465" w:rsidRPr="00CE5740" w:rsidRDefault="007F6465" w:rsidP="007F6465">
      <w:pPr>
        <w:pStyle w:val="ListParagraph"/>
        <w:numPr>
          <w:ilvl w:val="0"/>
          <w:numId w:val="9"/>
        </w:numPr>
        <w:spacing w:before="2" w:after="2"/>
        <w:ind w:left="360"/>
        <w:rPr>
          <w:rFonts w:ascii="Times New Roman" w:hAnsi="Times New Roman" w:cs="Times New Roman"/>
          <w:sz w:val="20"/>
          <w:szCs w:val="20"/>
          <w:lang w:val="en-CA"/>
        </w:rPr>
      </w:pPr>
      <w:r w:rsidRPr="00CE5740">
        <w:rPr>
          <w:rFonts w:ascii="Times New Roman" w:hAnsi="Times New Roman" w:cs="Times New Roman"/>
          <w:sz w:val="20"/>
          <w:szCs w:val="20"/>
          <w:lang w:val="en-CA"/>
        </w:rPr>
        <w:t>Architects, joint venture:</w:t>
      </w:r>
    </w:p>
    <w:p w14:paraId="33D9EB94" w14:textId="77777777" w:rsidR="007F6465" w:rsidRPr="00CE5740" w:rsidRDefault="007F6465" w:rsidP="007F6465">
      <w:pPr>
        <w:pStyle w:val="ListParagraph"/>
        <w:numPr>
          <w:ilvl w:val="1"/>
          <w:numId w:val="9"/>
        </w:numPr>
        <w:spacing w:before="2" w:after="2"/>
        <w:ind w:left="1080"/>
        <w:rPr>
          <w:rFonts w:ascii="Times New Roman" w:hAnsi="Times New Roman" w:cs="Times New Roman"/>
          <w:sz w:val="20"/>
          <w:szCs w:val="20"/>
          <w:lang w:val="en-CA"/>
        </w:rPr>
      </w:pPr>
      <w:r w:rsidRPr="00CE5740">
        <w:rPr>
          <w:rFonts w:ascii="Times New Roman" w:hAnsi="Times New Roman" w:cs="Times New Roman"/>
          <w:sz w:val="20"/>
          <w:szCs w:val="20"/>
          <w:lang w:val="en-CA"/>
        </w:rPr>
        <w:t>Moriyama &amp; Teshima Architects; Toronto; https://mtarch.com</w:t>
      </w:r>
    </w:p>
    <w:p w14:paraId="4A2F4F87" w14:textId="77777777" w:rsidR="007F6465" w:rsidRPr="00CE5740" w:rsidRDefault="007F6465" w:rsidP="007F6465">
      <w:pPr>
        <w:pStyle w:val="ListParagraph"/>
        <w:numPr>
          <w:ilvl w:val="1"/>
          <w:numId w:val="9"/>
        </w:numPr>
        <w:spacing w:before="2" w:after="2"/>
        <w:ind w:left="1080"/>
        <w:rPr>
          <w:rFonts w:ascii="Times New Roman" w:hAnsi="Times New Roman" w:cs="Times New Roman"/>
          <w:sz w:val="20"/>
          <w:szCs w:val="20"/>
          <w:lang w:val="en-CA"/>
        </w:rPr>
      </w:pPr>
      <w:r w:rsidRPr="00CE5740">
        <w:rPr>
          <w:rFonts w:ascii="Times New Roman" w:hAnsi="Times New Roman" w:cs="Times New Roman"/>
          <w:sz w:val="20"/>
          <w:szCs w:val="20"/>
          <w:lang w:val="en-CA"/>
        </w:rPr>
        <w:t>Bélanger Salach Architecture; Sudbury, Ontario; https://belangersalach.ca/</w:t>
      </w:r>
    </w:p>
    <w:p w14:paraId="140AC1D1" w14:textId="77777777" w:rsidR="007F6465" w:rsidRPr="00CE5740" w:rsidRDefault="007F6465" w:rsidP="007F6465">
      <w:pPr>
        <w:pStyle w:val="ListParagraph"/>
        <w:numPr>
          <w:ilvl w:val="0"/>
          <w:numId w:val="9"/>
        </w:numPr>
        <w:spacing w:before="2" w:after="2"/>
        <w:ind w:left="360"/>
        <w:rPr>
          <w:rFonts w:ascii="Times New Roman" w:hAnsi="Times New Roman" w:cs="Times New Roman"/>
          <w:sz w:val="20"/>
          <w:szCs w:val="20"/>
          <w:lang w:val="en-CA"/>
        </w:rPr>
      </w:pPr>
      <w:r w:rsidRPr="00CE5740">
        <w:rPr>
          <w:rFonts w:ascii="Times New Roman" w:hAnsi="Times New Roman" w:cs="Times New Roman"/>
          <w:sz w:val="20"/>
          <w:szCs w:val="20"/>
          <w:lang w:val="en-CA"/>
        </w:rPr>
        <w:t>General contractor: HEIN; Kanata, Ontario; https://hein.ca/</w:t>
      </w:r>
    </w:p>
    <w:p w14:paraId="7BBA253F" w14:textId="77777777" w:rsidR="007F6465" w:rsidRPr="00CE5740" w:rsidRDefault="007F6465" w:rsidP="007F6465">
      <w:pPr>
        <w:pStyle w:val="ListParagraph"/>
        <w:numPr>
          <w:ilvl w:val="0"/>
          <w:numId w:val="9"/>
        </w:numPr>
        <w:spacing w:before="2" w:after="2"/>
        <w:ind w:left="360"/>
        <w:rPr>
          <w:rFonts w:ascii="Times New Roman" w:hAnsi="Times New Roman" w:cs="Times New Roman"/>
          <w:sz w:val="20"/>
          <w:szCs w:val="20"/>
        </w:rPr>
      </w:pPr>
      <w:r w:rsidRPr="00CE5740">
        <w:rPr>
          <w:rFonts w:ascii="Times New Roman" w:hAnsi="Times New Roman" w:cs="Times New Roman"/>
          <w:sz w:val="20"/>
          <w:szCs w:val="20"/>
          <w:lang w:val="en-CA"/>
        </w:rPr>
        <w:t xml:space="preserve">Steel wall panels, manufacturer: </w:t>
      </w:r>
      <w:r w:rsidRPr="00CE5740">
        <w:rPr>
          <w:rFonts w:ascii="Times New Roman" w:hAnsi="Times New Roman" w:cs="Times New Roman"/>
          <w:sz w:val="20"/>
          <w:szCs w:val="20"/>
        </w:rPr>
        <w:t>Agway Metals Inc.; Brampton, Ontario, https://www.agwaymetals.com/</w:t>
      </w:r>
    </w:p>
    <w:p w14:paraId="2F33D62D" w14:textId="77777777" w:rsidR="007F6465" w:rsidRPr="00CE5740" w:rsidRDefault="007F6465" w:rsidP="007F6465">
      <w:pPr>
        <w:pStyle w:val="ListParagraph"/>
        <w:numPr>
          <w:ilvl w:val="0"/>
          <w:numId w:val="9"/>
        </w:numPr>
        <w:spacing w:before="2" w:after="2"/>
        <w:ind w:left="360"/>
        <w:rPr>
          <w:rFonts w:ascii="Times New Roman" w:hAnsi="Times New Roman" w:cs="Times New Roman"/>
          <w:sz w:val="20"/>
          <w:szCs w:val="20"/>
          <w:lang w:val="en-CA"/>
        </w:rPr>
      </w:pPr>
      <w:r w:rsidRPr="00CE5740">
        <w:rPr>
          <w:rFonts w:ascii="Times New Roman" w:hAnsi="Times New Roman" w:cs="Times New Roman"/>
          <w:sz w:val="20"/>
          <w:szCs w:val="20"/>
          <w:lang w:val="en-CA"/>
        </w:rPr>
        <w:t xml:space="preserve">Curtainwall – glazing contractor: </w:t>
      </w:r>
      <w:r w:rsidRPr="00CE5740">
        <w:rPr>
          <w:rFonts w:ascii="Times New Roman" w:hAnsi="Times New Roman" w:cs="Times New Roman"/>
          <w:sz w:val="20"/>
          <w:szCs w:val="20"/>
        </w:rPr>
        <w:t>Barrie Metro Glass (BMG); Barrie, Ontario; https://bmgglass.com/</w:t>
      </w:r>
    </w:p>
    <w:p w14:paraId="72AC5296" w14:textId="77777777" w:rsidR="007F6465" w:rsidRPr="00CE5740" w:rsidRDefault="007F6465" w:rsidP="007F6465">
      <w:pPr>
        <w:pStyle w:val="ListParagraph"/>
        <w:numPr>
          <w:ilvl w:val="0"/>
          <w:numId w:val="9"/>
        </w:numPr>
        <w:spacing w:before="2" w:after="2"/>
        <w:ind w:left="360"/>
        <w:rPr>
          <w:rFonts w:ascii="Times New Roman" w:hAnsi="Times New Roman" w:cs="Times New Roman"/>
          <w:sz w:val="20"/>
          <w:szCs w:val="20"/>
          <w:lang w:val="en-CA"/>
        </w:rPr>
      </w:pPr>
      <w:r w:rsidRPr="00CE5740">
        <w:rPr>
          <w:rFonts w:ascii="Times New Roman" w:hAnsi="Times New Roman" w:cs="Times New Roman"/>
          <w:sz w:val="20"/>
          <w:szCs w:val="20"/>
          <w:lang w:val="en-CA"/>
        </w:rPr>
        <w:t>Curtainwall – glass fabricator: Viracon; Owatonna, Minnesota; https://www.viracon.com/</w:t>
      </w:r>
    </w:p>
    <w:p w14:paraId="57E94751" w14:textId="77777777" w:rsidR="007F6465" w:rsidRPr="00CE5740" w:rsidRDefault="007F6465" w:rsidP="007F6465">
      <w:pPr>
        <w:pStyle w:val="ListParagraph"/>
        <w:numPr>
          <w:ilvl w:val="0"/>
          <w:numId w:val="9"/>
        </w:numPr>
        <w:spacing w:before="2" w:after="2"/>
        <w:ind w:left="360"/>
        <w:rPr>
          <w:rFonts w:ascii="Times New Roman" w:hAnsi="Times New Roman" w:cs="Times New Roman"/>
          <w:sz w:val="20"/>
          <w:szCs w:val="20"/>
          <w:lang w:val="en-CA"/>
        </w:rPr>
      </w:pPr>
      <w:r w:rsidRPr="00CE5740">
        <w:rPr>
          <w:rFonts w:ascii="Times New Roman" w:hAnsi="Times New Roman" w:cs="Times New Roman"/>
          <w:sz w:val="20"/>
          <w:szCs w:val="20"/>
          <w:lang w:val="en-CA"/>
        </w:rPr>
        <w:t>Curtainwall – aluminum framing systems, manufacturer: Alumicor; Toronto; https://alumicor.com/</w:t>
      </w:r>
    </w:p>
    <w:p w14:paraId="2B61CDF6" w14:textId="77777777" w:rsidR="007F6465" w:rsidRDefault="007F6465" w:rsidP="007F6465">
      <w:pPr>
        <w:pStyle w:val="PlainText"/>
        <w:numPr>
          <w:ilvl w:val="0"/>
          <w:numId w:val="9"/>
        </w:numPr>
        <w:ind w:left="360"/>
        <w:rPr>
          <w:rFonts w:ascii="Times New Roman" w:hAnsi="Times New Roman" w:cs="Times New Roman"/>
          <w:szCs w:val="20"/>
        </w:rPr>
      </w:pPr>
      <w:r w:rsidRPr="00D91489">
        <w:rPr>
          <w:rFonts w:ascii="Times New Roman" w:hAnsi="Times New Roman" w:cs="Times New Roman"/>
          <w:szCs w:val="20"/>
          <w:lang w:val="en-CA"/>
        </w:rPr>
        <w:t xml:space="preserve">Photographer: Tom Arban </w:t>
      </w:r>
      <w:r w:rsidRPr="00D91489">
        <w:rPr>
          <w:rFonts w:ascii="Times New Roman" w:hAnsi="Times New Roman" w:cs="Times New Roman"/>
          <w:szCs w:val="20"/>
        </w:rPr>
        <w:t>Photography, Inc.</w:t>
      </w:r>
    </w:p>
    <w:p w14:paraId="7F46F4F6" w14:textId="30F345FE" w:rsidR="00C70BD8" w:rsidRPr="00C70BD8" w:rsidRDefault="00C70BD8" w:rsidP="007F6465">
      <w:pPr>
        <w:pStyle w:val="PlainText"/>
        <w:numPr>
          <w:ilvl w:val="0"/>
          <w:numId w:val="9"/>
        </w:numPr>
        <w:ind w:left="360"/>
        <w:rPr>
          <w:rFonts w:ascii="Times New Roman" w:hAnsi="Times New Roman" w:cs="Times New Roman"/>
          <w:szCs w:val="20"/>
        </w:rPr>
      </w:pPr>
      <w:r w:rsidRPr="00C70BD8">
        <w:rPr>
          <w:rFonts w:ascii="Times New Roman" w:hAnsi="Times New Roman" w:cs="Times New Roman"/>
          <w:szCs w:val="20"/>
        </w:rPr>
        <w:t xml:space="preserve">Additional images: </w:t>
      </w:r>
      <w:r w:rsidRPr="00C70BD8">
        <w:rPr>
          <w:rFonts w:ascii="Times New Roman" w:hAnsi="Times New Roman" w:cs="Times New Roman"/>
          <w:color w:val="000000"/>
          <w:szCs w:val="20"/>
        </w:rPr>
        <w:t>Banko Creative Studio, courtesy Agway Metals Inc.</w:t>
      </w:r>
      <w:r>
        <w:rPr>
          <w:rFonts w:ascii="Times New Roman" w:hAnsi="Times New Roman" w:cs="Times New Roman"/>
          <w:color w:val="000000"/>
          <w:szCs w:val="20"/>
        </w:rPr>
        <w:t xml:space="preserve">; </w:t>
      </w:r>
      <w:r w:rsidRPr="00C70BD8">
        <w:rPr>
          <w:rFonts w:ascii="Times New Roman" w:hAnsi="Times New Roman" w:cs="Times New Roman"/>
          <w:color w:val="000000"/>
          <w:szCs w:val="20"/>
        </w:rPr>
        <w:t>http://photos.agwaymetals.com/</w:t>
      </w:r>
    </w:p>
    <w:p w14:paraId="47DD0F70" w14:textId="578E8683" w:rsidR="007B6EA8" w:rsidRPr="007F6465" w:rsidRDefault="007F6465" w:rsidP="007F6465">
      <w:pPr>
        <w:pStyle w:val="ListParagraph"/>
        <w:numPr>
          <w:ilvl w:val="0"/>
          <w:numId w:val="9"/>
        </w:numPr>
        <w:spacing w:before="2" w:after="2"/>
        <w:ind w:left="360"/>
        <w:rPr>
          <w:rFonts w:ascii="Times New Roman" w:hAnsi="Times New Roman" w:cs="Times New Roman"/>
          <w:sz w:val="20"/>
          <w:szCs w:val="20"/>
          <w:lang w:val="en-CA"/>
        </w:rPr>
      </w:pPr>
      <w:r w:rsidRPr="00CE5740">
        <w:rPr>
          <w:rFonts w:ascii="Times New Roman" w:hAnsi="Times New Roman" w:cs="Times New Roman"/>
          <w:sz w:val="20"/>
          <w:szCs w:val="20"/>
          <w:lang w:val="en-CA"/>
        </w:rPr>
        <w:t>Video (in French) – history and construction, 2021: https://www.youtube.com/watch?v=0al9s1CyqAg</w:t>
      </w:r>
    </w:p>
    <w:p w14:paraId="2A6E4D73" w14:textId="77777777" w:rsidR="007B6EA8" w:rsidRDefault="007B6EA8" w:rsidP="007F6465">
      <w:pPr>
        <w:contextualSpacing/>
        <w:outlineLvl w:val="0"/>
        <w:rPr>
          <w:b/>
          <w:bCs/>
          <w:i/>
          <w:color w:val="000000"/>
          <w:sz w:val="18"/>
          <w:szCs w:val="18"/>
        </w:rPr>
      </w:pPr>
    </w:p>
    <w:p w14:paraId="55E27C1A" w14:textId="06A6072F" w:rsidR="00F82C56" w:rsidRPr="00281F3B" w:rsidRDefault="00F82C56" w:rsidP="007F6465">
      <w:pPr>
        <w:contextualSpacing/>
        <w:outlineLvl w:val="0"/>
        <w:rPr>
          <w:b/>
          <w:bCs/>
          <w:i/>
          <w:color w:val="000000"/>
          <w:sz w:val="18"/>
          <w:szCs w:val="18"/>
        </w:rPr>
      </w:pPr>
      <w:r w:rsidRPr="00281F3B">
        <w:rPr>
          <w:b/>
          <w:bCs/>
          <w:i/>
          <w:color w:val="000000"/>
          <w:sz w:val="18"/>
          <w:szCs w:val="18"/>
        </w:rPr>
        <w:t>About Alumicor</w:t>
      </w:r>
    </w:p>
    <w:p w14:paraId="6CBFDEC3" w14:textId="77777777" w:rsidR="00F82C56" w:rsidRPr="00281F3B" w:rsidRDefault="00F82C56" w:rsidP="007F6465">
      <w:pPr>
        <w:widowControl w:val="0"/>
        <w:autoSpaceDE w:val="0"/>
        <w:autoSpaceDN w:val="0"/>
        <w:adjustRightInd w:val="0"/>
        <w:ind w:right="450"/>
        <w:contextualSpacing/>
        <w:rPr>
          <w:i/>
          <w:iCs/>
          <w:sz w:val="18"/>
          <w:szCs w:val="18"/>
          <w:lang w:val="en-CA"/>
        </w:rPr>
      </w:pPr>
      <w:r w:rsidRPr="00281F3B">
        <w:rPr>
          <w:i/>
          <w:iCs/>
          <w:sz w:val="18"/>
          <w:szCs w:val="18"/>
          <w:lang w:val="en-CA"/>
        </w:rPr>
        <w:t>Alumicor is a Canadian-based supplier of architectural aluminum building envelope products. With corporate offices in Toronto, Alumicor services the North American market through two manufacturing facilities in Winnipeg, Manitoba; and Toronto.</w:t>
      </w:r>
    </w:p>
    <w:p w14:paraId="17D1DF92" w14:textId="77777777" w:rsidR="00F82C56" w:rsidRPr="00281F3B" w:rsidRDefault="00F82C56" w:rsidP="007F6465">
      <w:pPr>
        <w:widowControl w:val="0"/>
        <w:autoSpaceDE w:val="0"/>
        <w:autoSpaceDN w:val="0"/>
        <w:adjustRightInd w:val="0"/>
        <w:contextualSpacing/>
        <w:rPr>
          <w:i/>
          <w:iCs/>
          <w:sz w:val="18"/>
          <w:szCs w:val="18"/>
          <w:lang w:val="en-CA"/>
        </w:rPr>
      </w:pPr>
    </w:p>
    <w:p w14:paraId="697A99E9" w14:textId="50B9B4FF" w:rsidR="00F82C56" w:rsidRPr="00281F3B" w:rsidRDefault="00F82C56" w:rsidP="007F6465">
      <w:pPr>
        <w:widowControl w:val="0"/>
        <w:autoSpaceDE w:val="0"/>
        <w:autoSpaceDN w:val="0"/>
        <w:adjustRightInd w:val="0"/>
        <w:contextualSpacing/>
        <w:rPr>
          <w:i/>
          <w:iCs/>
          <w:sz w:val="18"/>
          <w:szCs w:val="18"/>
          <w:lang w:val="en-CA"/>
        </w:rPr>
      </w:pPr>
      <w:r w:rsidRPr="00281F3B">
        <w:rPr>
          <w:i/>
          <w:iCs/>
          <w:sz w:val="18"/>
          <w:szCs w:val="18"/>
          <w:lang w:val="en-CA"/>
        </w:rPr>
        <w:t>Founded in 1959, Alumicor has earned respect and recognition for technical competence, responsiveness and integrity. Alumicor joined Apogee Enterprises, Inc.’s family of businesses in 2013, which includes Tubelite, an industry leader in eco-efficient storefront, curtainwall and entrance systems in the United States. In 2020, Alumicor combined with Tubelite. This strengthens Alumicor’s ability to provide an unrivalled level of customer support, an expansive product portfolio and dependable service.</w:t>
      </w:r>
    </w:p>
    <w:p w14:paraId="1F6F707D" w14:textId="77777777" w:rsidR="00F82C56" w:rsidRPr="00281F3B" w:rsidRDefault="00F82C56" w:rsidP="007F6465">
      <w:pPr>
        <w:widowControl w:val="0"/>
        <w:autoSpaceDE w:val="0"/>
        <w:autoSpaceDN w:val="0"/>
        <w:adjustRightInd w:val="0"/>
        <w:contextualSpacing/>
        <w:rPr>
          <w:i/>
          <w:color w:val="000000"/>
          <w:sz w:val="18"/>
          <w:szCs w:val="18"/>
        </w:rPr>
      </w:pPr>
    </w:p>
    <w:p w14:paraId="113B3405" w14:textId="77777777" w:rsidR="00F82C56" w:rsidRPr="00281F3B" w:rsidRDefault="00F82C56" w:rsidP="007F6465">
      <w:pPr>
        <w:widowControl w:val="0"/>
        <w:autoSpaceDE w:val="0"/>
        <w:autoSpaceDN w:val="0"/>
        <w:adjustRightInd w:val="0"/>
        <w:contextualSpacing/>
        <w:rPr>
          <w:i/>
          <w:iCs/>
          <w:sz w:val="18"/>
          <w:szCs w:val="18"/>
          <w:lang w:val="en-CA"/>
        </w:rPr>
      </w:pPr>
      <w:r w:rsidRPr="00281F3B">
        <w:rPr>
          <w:i/>
          <w:iCs/>
          <w:sz w:val="18"/>
          <w:szCs w:val="18"/>
          <w:lang w:val="en-CA"/>
        </w:rPr>
        <w:t>Alumicor and its staff are members of numerous construction associations including Construction Specifications Canada (CSC), Ontario Glass and Metal Association (OGMA), and Ontario Building Envelope Council (OBEC).</w:t>
      </w:r>
    </w:p>
    <w:p w14:paraId="274757AB" w14:textId="77777777" w:rsidR="00F82C56" w:rsidRPr="00A714A9" w:rsidRDefault="00F82C56" w:rsidP="007F6465">
      <w:pPr>
        <w:contextualSpacing/>
        <w:jc w:val="center"/>
        <w:outlineLvl w:val="0"/>
        <w:rPr>
          <w:i/>
          <w:color w:val="000000"/>
          <w:sz w:val="18"/>
          <w:szCs w:val="18"/>
        </w:rPr>
      </w:pPr>
      <w:r w:rsidRPr="00281F3B">
        <w:rPr>
          <w:i/>
          <w:color w:val="000000"/>
          <w:sz w:val="18"/>
          <w:szCs w:val="18"/>
        </w:rPr>
        <w:t>###</w:t>
      </w:r>
    </w:p>
    <w:p w14:paraId="455272F3" w14:textId="40DF6996" w:rsidR="00735CEF" w:rsidRPr="00423032" w:rsidRDefault="00735CEF" w:rsidP="007F6465">
      <w:pPr>
        <w:contextualSpacing/>
        <w:outlineLvl w:val="0"/>
        <w:rPr>
          <w:i/>
          <w:color w:val="000000"/>
          <w:sz w:val="20"/>
        </w:rPr>
      </w:pPr>
    </w:p>
    <w:sectPr w:rsidR="00735CEF" w:rsidRPr="00423032" w:rsidSect="00A14F03">
      <w:headerReference w:type="even" r:id="rId8"/>
      <w:headerReference w:type="default" r:id="rId9"/>
      <w:footerReference w:type="even" r:id="rId10"/>
      <w:footerReference w:type="default" r:id="rId11"/>
      <w:headerReference w:type="first" r:id="rId12"/>
      <w:footerReference w:type="first" r:id="rId13"/>
      <w:pgSz w:w="12240" w:h="15840"/>
      <w:pgMar w:top="2160" w:right="1620" w:bottom="806"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CFF5F" w14:textId="77777777" w:rsidR="00ED1313" w:rsidRDefault="00ED1313">
      <w:r>
        <w:separator/>
      </w:r>
    </w:p>
  </w:endnote>
  <w:endnote w:type="continuationSeparator" w:id="0">
    <w:p w14:paraId="0C86CE08" w14:textId="77777777" w:rsidR="00ED1313" w:rsidRDefault="00ED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B2B7" w14:textId="77777777" w:rsidR="00172BA7" w:rsidRDefault="00172B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98EE1" w14:textId="77777777" w:rsidR="00172BA7" w:rsidRDefault="00172B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4BB72" w14:textId="77777777" w:rsidR="00172BA7" w:rsidRDefault="00172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9E224" w14:textId="77777777" w:rsidR="00ED1313" w:rsidRDefault="00ED1313">
      <w:r>
        <w:separator/>
      </w:r>
    </w:p>
  </w:footnote>
  <w:footnote w:type="continuationSeparator" w:id="0">
    <w:p w14:paraId="7F6814E3" w14:textId="77777777" w:rsidR="00ED1313" w:rsidRDefault="00ED1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7DC47" w14:textId="68C6CF21" w:rsidR="00172BA7" w:rsidRDefault="00172B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58D29" w14:textId="2E050D11" w:rsidR="00C010EF" w:rsidRDefault="00085D61">
    <w:pPr>
      <w:pStyle w:val="Header"/>
    </w:pPr>
    <w:r>
      <w:rPr>
        <w:noProof/>
      </w:rPr>
      <w:drawing>
        <wp:anchor distT="0" distB="0" distL="114300" distR="114300" simplePos="0" relativeHeight="251658240" behindDoc="1" locked="0" layoutInCell="1" allowOverlap="1" wp14:anchorId="239B16FD" wp14:editId="36FF177A">
          <wp:simplePos x="0" y="0"/>
          <wp:positionH relativeFrom="column">
            <wp:posOffset>-267970</wp:posOffset>
          </wp:positionH>
          <wp:positionV relativeFrom="paragraph">
            <wp:posOffset>-344170</wp:posOffset>
          </wp:positionV>
          <wp:extent cx="3599180" cy="1063625"/>
          <wp:effectExtent l="0" t="0" r="1270" b="3175"/>
          <wp:wrapThrough wrapText="bothSides">
            <wp:wrapPolygon edited="0">
              <wp:start x="4344" y="0"/>
              <wp:lineTo x="2858" y="1934"/>
              <wp:lineTo x="2629" y="2708"/>
              <wp:lineTo x="2629" y="6190"/>
              <wp:lineTo x="2058" y="6964"/>
              <wp:lineTo x="1944" y="12380"/>
              <wp:lineTo x="1486" y="12767"/>
              <wp:lineTo x="572" y="16635"/>
              <wp:lineTo x="572" y="18570"/>
              <wp:lineTo x="0" y="19730"/>
              <wp:lineTo x="0" y="20891"/>
              <wp:lineTo x="2172" y="21278"/>
              <wp:lineTo x="4802" y="21278"/>
              <wp:lineTo x="20693" y="20891"/>
              <wp:lineTo x="20464" y="18570"/>
              <wp:lineTo x="21036" y="12380"/>
              <wp:lineTo x="21493" y="10832"/>
              <wp:lineTo x="21493" y="8511"/>
              <wp:lineTo x="5030" y="6190"/>
              <wp:lineTo x="5030" y="0"/>
              <wp:lineTo x="4344"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umicor logo EN TM no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3599180" cy="10636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A19E2" w14:textId="6E951801" w:rsidR="00172BA7" w:rsidRDefault="00172B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5BE19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4D7155"/>
    <w:multiLevelType w:val="hybridMultilevel"/>
    <w:tmpl w:val="58A063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2100E4"/>
    <w:multiLevelType w:val="hybridMultilevel"/>
    <w:tmpl w:val="A698B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70757968">
    <w:abstractNumId w:val="4"/>
  </w:num>
  <w:num w:numId="2" w16cid:durableId="329061024">
    <w:abstractNumId w:val="6"/>
  </w:num>
  <w:num w:numId="3" w16cid:durableId="1424522878">
    <w:abstractNumId w:val="5"/>
  </w:num>
  <w:num w:numId="4" w16cid:durableId="689912341">
    <w:abstractNumId w:val="0"/>
  </w:num>
  <w:num w:numId="5" w16cid:durableId="1678193052">
    <w:abstractNumId w:val="8"/>
  </w:num>
  <w:num w:numId="6" w16cid:durableId="508640015">
    <w:abstractNumId w:val="3"/>
  </w:num>
  <w:num w:numId="7" w16cid:durableId="1154299366">
    <w:abstractNumId w:val="2"/>
  </w:num>
  <w:num w:numId="8" w16cid:durableId="1703092137">
    <w:abstractNumId w:val="1"/>
  </w:num>
  <w:num w:numId="9" w16cid:durableId="14958714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0FB"/>
    <w:rsid w:val="00000107"/>
    <w:rsid w:val="00001608"/>
    <w:rsid w:val="0000485F"/>
    <w:rsid w:val="0000536C"/>
    <w:rsid w:val="00010621"/>
    <w:rsid w:val="0001148F"/>
    <w:rsid w:val="000119BD"/>
    <w:rsid w:val="00012260"/>
    <w:rsid w:val="00017443"/>
    <w:rsid w:val="00017E0E"/>
    <w:rsid w:val="00022D3A"/>
    <w:rsid w:val="00022F98"/>
    <w:rsid w:val="00024243"/>
    <w:rsid w:val="0002687E"/>
    <w:rsid w:val="00030768"/>
    <w:rsid w:val="0003268C"/>
    <w:rsid w:val="00035963"/>
    <w:rsid w:val="00036E3A"/>
    <w:rsid w:val="00037E81"/>
    <w:rsid w:val="00044EC2"/>
    <w:rsid w:val="00046B09"/>
    <w:rsid w:val="000470C8"/>
    <w:rsid w:val="000543F5"/>
    <w:rsid w:val="0005524A"/>
    <w:rsid w:val="000572C2"/>
    <w:rsid w:val="00057AD0"/>
    <w:rsid w:val="00060994"/>
    <w:rsid w:val="00060E4C"/>
    <w:rsid w:val="00065574"/>
    <w:rsid w:val="000735F6"/>
    <w:rsid w:val="00073705"/>
    <w:rsid w:val="00080573"/>
    <w:rsid w:val="000808FF"/>
    <w:rsid w:val="00083B73"/>
    <w:rsid w:val="000844E0"/>
    <w:rsid w:val="00085D61"/>
    <w:rsid w:val="00095865"/>
    <w:rsid w:val="00097EBF"/>
    <w:rsid w:val="000B2450"/>
    <w:rsid w:val="000B7CA5"/>
    <w:rsid w:val="000C2227"/>
    <w:rsid w:val="000C6B23"/>
    <w:rsid w:val="000C7553"/>
    <w:rsid w:val="000D0324"/>
    <w:rsid w:val="000D2557"/>
    <w:rsid w:val="000E3C8B"/>
    <w:rsid w:val="000E4250"/>
    <w:rsid w:val="000E4F06"/>
    <w:rsid w:val="000E6580"/>
    <w:rsid w:val="000F2E8B"/>
    <w:rsid w:val="000F5FFC"/>
    <w:rsid w:val="00111279"/>
    <w:rsid w:val="001118D6"/>
    <w:rsid w:val="00113A84"/>
    <w:rsid w:val="00116000"/>
    <w:rsid w:val="00120897"/>
    <w:rsid w:val="00121D92"/>
    <w:rsid w:val="0012726A"/>
    <w:rsid w:val="001277A2"/>
    <w:rsid w:val="00133C3D"/>
    <w:rsid w:val="00136176"/>
    <w:rsid w:val="001373BB"/>
    <w:rsid w:val="001418CC"/>
    <w:rsid w:val="00147C97"/>
    <w:rsid w:val="00153A1B"/>
    <w:rsid w:val="00156A08"/>
    <w:rsid w:val="0016020A"/>
    <w:rsid w:val="0016155E"/>
    <w:rsid w:val="001638FF"/>
    <w:rsid w:val="00164174"/>
    <w:rsid w:val="00170080"/>
    <w:rsid w:val="00171686"/>
    <w:rsid w:val="00172BA7"/>
    <w:rsid w:val="00174608"/>
    <w:rsid w:val="00175D69"/>
    <w:rsid w:val="00180F66"/>
    <w:rsid w:val="0018177A"/>
    <w:rsid w:val="00190F8F"/>
    <w:rsid w:val="001923EA"/>
    <w:rsid w:val="00194027"/>
    <w:rsid w:val="00194C64"/>
    <w:rsid w:val="001963F7"/>
    <w:rsid w:val="001970BA"/>
    <w:rsid w:val="00197774"/>
    <w:rsid w:val="001A2AA5"/>
    <w:rsid w:val="001A2E22"/>
    <w:rsid w:val="001A3A58"/>
    <w:rsid w:val="001A3B47"/>
    <w:rsid w:val="001B22BD"/>
    <w:rsid w:val="001C19D9"/>
    <w:rsid w:val="001C33EB"/>
    <w:rsid w:val="001C6BB8"/>
    <w:rsid w:val="001C6CCA"/>
    <w:rsid w:val="001C7773"/>
    <w:rsid w:val="001D06FC"/>
    <w:rsid w:val="001D075F"/>
    <w:rsid w:val="001D74B4"/>
    <w:rsid w:val="001E0E0B"/>
    <w:rsid w:val="001E5CE4"/>
    <w:rsid w:val="001E7BD9"/>
    <w:rsid w:val="001F0C72"/>
    <w:rsid w:val="001F10B4"/>
    <w:rsid w:val="001F1D1B"/>
    <w:rsid w:val="001F2626"/>
    <w:rsid w:val="001F5BAB"/>
    <w:rsid w:val="001F7142"/>
    <w:rsid w:val="001F71CE"/>
    <w:rsid w:val="001F71ED"/>
    <w:rsid w:val="002002E1"/>
    <w:rsid w:val="0020451F"/>
    <w:rsid w:val="00205195"/>
    <w:rsid w:val="002075B5"/>
    <w:rsid w:val="002076CD"/>
    <w:rsid w:val="00211274"/>
    <w:rsid w:val="00215793"/>
    <w:rsid w:val="00215B5E"/>
    <w:rsid w:val="00216019"/>
    <w:rsid w:val="00216831"/>
    <w:rsid w:val="00216BDF"/>
    <w:rsid w:val="00225B2D"/>
    <w:rsid w:val="00230A9C"/>
    <w:rsid w:val="00234812"/>
    <w:rsid w:val="00235565"/>
    <w:rsid w:val="00236389"/>
    <w:rsid w:val="0023792D"/>
    <w:rsid w:val="00240546"/>
    <w:rsid w:val="00241449"/>
    <w:rsid w:val="00245D0C"/>
    <w:rsid w:val="002526E2"/>
    <w:rsid w:val="002535E8"/>
    <w:rsid w:val="00256664"/>
    <w:rsid w:val="0025702A"/>
    <w:rsid w:val="002612C0"/>
    <w:rsid w:val="00265E71"/>
    <w:rsid w:val="00270C5D"/>
    <w:rsid w:val="00271C90"/>
    <w:rsid w:val="00271F48"/>
    <w:rsid w:val="00280D7C"/>
    <w:rsid w:val="002831AB"/>
    <w:rsid w:val="002831CE"/>
    <w:rsid w:val="00284792"/>
    <w:rsid w:val="0028521A"/>
    <w:rsid w:val="00285E11"/>
    <w:rsid w:val="00286126"/>
    <w:rsid w:val="00292EB0"/>
    <w:rsid w:val="002932B6"/>
    <w:rsid w:val="002A0E7D"/>
    <w:rsid w:val="002A6B3C"/>
    <w:rsid w:val="002A6DBC"/>
    <w:rsid w:val="002B0CD0"/>
    <w:rsid w:val="002B5581"/>
    <w:rsid w:val="002C062C"/>
    <w:rsid w:val="002C1B34"/>
    <w:rsid w:val="002C1C2D"/>
    <w:rsid w:val="002C7255"/>
    <w:rsid w:val="002C7631"/>
    <w:rsid w:val="002D319A"/>
    <w:rsid w:val="002D7605"/>
    <w:rsid w:val="002E3972"/>
    <w:rsid w:val="002E3AA1"/>
    <w:rsid w:val="002F1FF8"/>
    <w:rsid w:val="002F3650"/>
    <w:rsid w:val="00301E6B"/>
    <w:rsid w:val="003052B5"/>
    <w:rsid w:val="003055D0"/>
    <w:rsid w:val="00311C0A"/>
    <w:rsid w:val="00316B76"/>
    <w:rsid w:val="00316B8F"/>
    <w:rsid w:val="003236AD"/>
    <w:rsid w:val="00324754"/>
    <w:rsid w:val="003322BE"/>
    <w:rsid w:val="00333246"/>
    <w:rsid w:val="0033401E"/>
    <w:rsid w:val="00334F20"/>
    <w:rsid w:val="0033608A"/>
    <w:rsid w:val="00346226"/>
    <w:rsid w:val="00346836"/>
    <w:rsid w:val="00347C20"/>
    <w:rsid w:val="00354ADC"/>
    <w:rsid w:val="00355EAE"/>
    <w:rsid w:val="00356143"/>
    <w:rsid w:val="00356474"/>
    <w:rsid w:val="00356A55"/>
    <w:rsid w:val="00360872"/>
    <w:rsid w:val="003616FB"/>
    <w:rsid w:val="00362AAC"/>
    <w:rsid w:val="00362DEF"/>
    <w:rsid w:val="00362FBC"/>
    <w:rsid w:val="00365F3C"/>
    <w:rsid w:val="00370981"/>
    <w:rsid w:val="00372C0C"/>
    <w:rsid w:val="00373A4D"/>
    <w:rsid w:val="003803EE"/>
    <w:rsid w:val="003824A1"/>
    <w:rsid w:val="00390A62"/>
    <w:rsid w:val="00392843"/>
    <w:rsid w:val="00393F0E"/>
    <w:rsid w:val="003951BD"/>
    <w:rsid w:val="003962AD"/>
    <w:rsid w:val="003965BC"/>
    <w:rsid w:val="003A0CC7"/>
    <w:rsid w:val="003A217E"/>
    <w:rsid w:val="003A515E"/>
    <w:rsid w:val="003B0CE3"/>
    <w:rsid w:val="003B0D21"/>
    <w:rsid w:val="003B3D92"/>
    <w:rsid w:val="003B3DBD"/>
    <w:rsid w:val="003B6747"/>
    <w:rsid w:val="003B67BC"/>
    <w:rsid w:val="003B740A"/>
    <w:rsid w:val="003C0952"/>
    <w:rsid w:val="003C28DB"/>
    <w:rsid w:val="003C2FC2"/>
    <w:rsid w:val="003C4CC9"/>
    <w:rsid w:val="003C51CD"/>
    <w:rsid w:val="003C7FD4"/>
    <w:rsid w:val="003D06D7"/>
    <w:rsid w:val="003D4D5A"/>
    <w:rsid w:val="003E608F"/>
    <w:rsid w:val="003F4703"/>
    <w:rsid w:val="003F59C7"/>
    <w:rsid w:val="003F5F41"/>
    <w:rsid w:val="004004F9"/>
    <w:rsid w:val="004015FD"/>
    <w:rsid w:val="00401C3F"/>
    <w:rsid w:val="00404501"/>
    <w:rsid w:val="00405E50"/>
    <w:rsid w:val="004060AA"/>
    <w:rsid w:val="004179F6"/>
    <w:rsid w:val="0042228C"/>
    <w:rsid w:val="00423032"/>
    <w:rsid w:val="00425625"/>
    <w:rsid w:val="00425D61"/>
    <w:rsid w:val="004314B3"/>
    <w:rsid w:val="004451A6"/>
    <w:rsid w:val="00450392"/>
    <w:rsid w:val="0045743E"/>
    <w:rsid w:val="00461CCB"/>
    <w:rsid w:val="004649F1"/>
    <w:rsid w:val="00466F47"/>
    <w:rsid w:val="004704FD"/>
    <w:rsid w:val="004723E5"/>
    <w:rsid w:val="00472817"/>
    <w:rsid w:val="0047380F"/>
    <w:rsid w:val="00475D4D"/>
    <w:rsid w:val="00477639"/>
    <w:rsid w:val="004801EE"/>
    <w:rsid w:val="004834B6"/>
    <w:rsid w:val="0048617E"/>
    <w:rsid w:val="0049033D"/>
    <w:rsid w:val="00490A97"/>
    <w:rsid w:val="00491433"/>
    <w:rsid w:val="00496D32"/>
    <w:rsid w:val="004A1C45"/>
    <w:rsid w:val="004A2AFD"/>
    <w:rsid w:val="004A3E41"/>
    <w:rsid w:val="004A5580"/>
    <w:rsid w:val="004B0422"/>
    <w:rsid w:val="004B0BE6"/>
    <w:rsid w:val="004B4E89"/>
    <w:rsid w:val="004B57EB"/>
    <w:rsid w:val="004B59CE"/>
    <w:rsid w:val="004C019C"/>
    <w:rsid w:val="004C2D81"/>
    <w:rsid w:val="004C3C8A"/>
    <w:rsid w:val="004C464E"/>
    <w:rsid w:val="004C618C"/>
    <w:rsid w:val="004C707A"/>
    <w:rsid w:val="004D620D"/>
    <w:rsid w:val="004D7710"/>
    <w:rsid w:val="004E196B"/>
    <w:rsid w:val="004E2AFA"/>
    <w:rsid w:val="004E47E3"/>
    <w:rsid w:val="004E79EF"/>
    <w:rsid w:val="004F2003"/>
    <w:rsid w:val="004F374A"/>
    <w:rsid w:val="004F3C33"/>
    <w:rsid w:val="004F5D36"/>
    <w:rsid w:val="00507E86"/>
    <w:rsid w:val="00510165"/>
    <w:rsid w:val="00515C7D"/>
    <w:rsid w:val="005162B7"/>
    <w:rsid w:val="00521895"/>
    <w:rsid w:val="00525A3A"/>
    <w:rsid w:val="0053340E"/>
    <w:rsid w:val="00540268"/>
    <w:rsid w:val="00543F0E"/>
    <w:rsid w:val="00546EB5"/>
    <w:rsid w:val="005474C4"/>
    <w:rsid w:val="00547882"/>
    <w:rsid w:val="005508EA"/>
    <w:rsid w:val="00551A21"/>
    <w:rsid w:val="00551EBB"/>
    <w:rsid w:val="00552F83"/>
    <w:rsid w:val="00556169"/>
    <w:rsid w:val="005625D8"/>
    <w:rsid w:val="00563C8A"/>
    <w:rsid w:val="00563CAE"/>
    <w:rsid w:val="0057266C"/>
    <w:rsid w:val="00573D36"/>
    <w:rsid w:val="00576EBC"/>
    <w:rsid w:val="00582E7F"/>
    <w:rsid w:val="00584FE3"/>
    <w:rsid w:val="005A1CE2"/>
    <w:rsid w:val="005A23CC"/>
    <w:rsid w:val="005A3088"/>
    <w:rsid w:val="005A516A"/>
    <w:rsid w:val="005B0C21"/>
    <w:rsid w:val="005B41FA"/>
    <w:rsid w:val="005B6F12"/>
    <w:rsid w:val="005B7C68"/>
    <w:rsid w:val="005C0428"/>
    <w:rsid w:val="005C0E08"/>
    <w:rsid w:val="005C12F8"/>
    <w:rsid w:val="005C6773"/>
    <w:rsid w:val="005D54C7"/>
    <w:rsid w:val="005D5B38"/>
    <w:rsid w:val="005E1C83"/>
    <w:rsid w:val="005E7A54"/>
    <w:rsid w:val="005F0605"/>
    <w:rsid w:val="005F0772"/>
    <w:rsid w:val="005F5EDE"/>
    <w:rsid w:val="005F6717"/>
    <w:rsid w:val="006036C9"/>
    <w:rsid w:val="00603919"/>
    <w:rsid w:val="00607501"/>
    <w:rsid w:val="00612B17"/>
    <w:rsid w:val="00613DDF"/>
    <w:rsid w:val="006176D7"/>
    <w:rsid w:val="00617DC6"/>
    <w:rsid w:val="00626FB1"/>
    <w:rsid w:val="006270A0"/>
    <w:rsid w:val="006336E8"/>
    <w:rsid w:val="00634BCC"/>
    <w:rsid w:val="00636198"/>
    <w:rsid w:val="00637E51"/>
    <w:rsid w:val="00637F88"/>
    <w:rsid w:val="0064001D"/>
    <w:rsid w:val="006419F6"/>
    <w:rsid w:val="00643E4F"/>
    <w:rsid w:val="0064613F"/>
    <w:rsid w:val="00651620"/>
    <w:rsid w:val="00651BFB"/>
    <w:rsid w:val="00652EA2"/>
    <w:rsid w:val="006539E3"/>
    <w:rsid w:val="006572EA"/>
    <w:rsid w:val="006623F1"/>
    <w:rsid w:val="00663039"/>
    <w:rsid w:val="00665C32"/>
    <w:rsid w:val="00666230"/>
    <w:rsid w:val="0067195D"/>
    <w:rsid w:val="00672E95"/>
    <w:rsid w:val="00673414"/>
    <w:rsid w:val="0067462D"/>
    <w:rsid w:val="00675B63"/>
    <w:rsid w:val="006778BC"/>
    <w:rsid w:val="006825FB"/>
    <w:rsid w:val="00682A37"/>
    <w:rsid w:val="00687364"/>
    <w:rsid w:val="00690877"/>
    <w:rsid w:val="00691AAB"/>
    <w:rsid w:val="00692189"/>
    <w:rsid w:val="006926CB"/>
    <w:rsid w:val="006958B8"/>
    <w:rsid w:val="006A1D50"/>
    <w:rsid w:val="006A3E62"/>
    <w:rsid w:val="006A482A"/>
    <w:rsid w:val="006A70DF"/>
    <w:rsid w:val="006A7EC2"/>
    <w:rsid w:val="006B1758"/>
    <w:rsid w:val="006B2A0E"/>
    <w:rsid w:val="006C14DC"/>
    <w:rsid w:val="006C1C53"/>
    <w:rsid w:val="006C25FB"/>
    <w:rsid w:val="006C54F8"/>
    <w:rsid w:val="006C5E7C"/>
    <w:rsid w:val="006D0991"/>
    <w:rsid w:val="006D1162"/>
    <w:rsid w:val="006D370A"/>
    <w:rsid w:val="006D41A1"/>
    <w:rsid w:val="006E0BDB"/>
    <w:rsid w:val="006E22AA"/>
    <w:rsid w:val="006E413B"/>
    <w:rsid w:val="006E44D5"/>
    <w:rsid w:val="006E4DE3"/>
    <w:rsid w:val="006E4EC4"/>
    <w:rsid w:val="006E6E42"/>
    <w:rsid w:val="006E70D2"/>
    <w:rsid w:val="006F029C"/>
    <w:rsid w:val="006F4CAD"/>
    <w:rsid w:val="00705B59"/>
    <w:rsid w:val="0070779A"/>
    <w:rsid w:val="00711E8A"/>
    <w:rsid w:val="0071705C"/>
    <w:rsid w:val="00721B23"/>
    <w:rsid w:val="0072565E"/>
    <w:rsid w:val="0072638B"/>
    <w:rsid w:val="00732E40"/>
    <w:rsid w:val="00734851"/>
    <w:rsid w:val="007356F5"/>
    <w:rsid w:val="00735CEF"/>
    <w:rsid w:val="00747764"/>
    <w:rsid w:val="00747A32"/>
    <w:rsid w:val="00756353"/>
    <w:rsid w:val="00756A13"/>
    <w:rsid w:val="007617DD"/>
    <w:rsid w:val="00762696"/>
    <w:rsid w:val="00764ECF"/>
    <w:rsid w:val="007679B2"/>
    <w:rsid w:val="00773738"/>
    <w:rsid w:val="00775E80"/>
    <w:rsid w:val="007802E7"/>
    <w:rsid w:val="00781FA5"/>
    <w:rsid w:val="007901D1"/>
    <w:rsid w:val="00790D5B"/>
    <w:rsid w:val="00795014"/>
    <w:rsid w:val="00796CC2"/>
    <w:rsid w:val="00797260"/>
    <w:rsid w:val="007A0298"/>
    <w:rsid w:val="007A5AB0"/>
    <w:rsid w:val="007A5FF2"/>
    <w:rsid w:val="007A683B"/>
    <w:rsid w:val="007A6EAB"/>
    <w:rsid w:val="007B2883"/>
    <w:rsid w:val="007B6EA8"/>
    <w:rsid w:val="007C098A"/>
    <w:rsid w:val="007C26B9"/>
    <w:rsid w:val="007C38E8"/>
    <w:rsid w:val="007C571B"/>
    <w:rsid w:val="007D438A"/>
    <w:rsid w:val="007D56E2"/>
    <w:rsid w:val="007D6C23"/>
    <w:rsid w:val="007E17B1"/>
    <w:rsid w:val="007E1C92"/>
    <w:rsid w:val="007E235B"/>
    <w:rsid w:val="007E463E"/>
    <w:rsid w:val="007E6C69"/>
    <w:rsid w:val="007E7D37"/>
    <w:rsid w:val="007F0BC8"/>
    <w:rsid w:val="007F1AC6"/>
    <w:rsid w:val="007F2483"/>
    <w:rsid w:val="007F5BFB"/>
    <w:rsid w:val="007F5CC6"/>
    <w:rsid w:val="007F6465"/>
    <w:rsid w:val="007F7D13"/>
    <w:rsid w:val="00800FDF"/>
    <w:rsid w:val="008029B1"/>
    <w:rsid w:val="0080439E"/>
    <w:rsid w:val="00806D55"/>
    <w:rsid w:val="0081013D"/>
    <w:rsid w:val="008105A5"/>
    <w:rsid w:val="00810787"/>
    <w:rsid w:val="0081405A"/>
    <w:rsid w:val="00814EBC"/>
    <w:rsid w:val="00815431"/>
    <w:rsid w:val="00821CFC"/>
    <w:rsid w:val="00823F3B"/>
    <w:rsid w:val="008246F1"/>
    <w:rsid w:val="00824CB8"/>
    <w:rsid w:val="00824E74"/>
    <w:rsid w:val="0082717C"/>
    <w:rsid w:val="00835CEE"/>
    <w:rsid w:val="00840BB5"/>
    <w:rsid w:val="00842CC0"/>
    <w:rsid w:val="00843120"/>
    <w:rsid w:val="00850557"/>
    <w:rsid w:val="00853970"/>
    <w:rsid w:val="00853B64"/>
    <w:rsid w:val="00855A09"/>
    <w:rsid w:val="00861C0A"/>
    <w:rsid w:val="0086299D"/>
    <w:rsid w:val="00864310"/>
    <w:rsid w:val="00867A92"/>
    <w:rsid w:val="00874468"/>
    <w:rsid w:val="008746AC"/>
    <w:rsid w:val="0087627E"/>
    <w:rsid w:val="00877E05"/>
    <w:rsid w:val="008813FB"/>
    <w:rsid w:val="00882325"/>
    <w:rsid w:val="008858A7"/>
    <w:rsid w:val="00885EE0"/>
    <w:rsid w:val="008866B9"/>
    <w:rsid w:val="008878F9"/>
    <w:rsid w:val="00892EB6"/>
    <w:rsid w:val="00896D04"/>
    <w:rsid w:val="00896EE7"/>
    <w:rsid w:val="008976F7"/>
    <w:rsid w:val="008A0D97"/>
    <w:rsid w:val="008B09A7"/>
    <w:rsid w:val="008B09C9"/>
    <w:rsid w:val="008B121B"/>
    <w:rsid w:val="008B3306"/>
    <w:rsid w:val="008B5ACD"/>
    <w:rsid w:val="008C4E43"/>
    <w:rsid w:val="008D5096"/>
    <w:rsid w:val="008E36DE"/>
    <w:rsid w:val="008E45E0"/>
    <w:rsid w:val="008E532E"/>
    <w:rsid w:val="008E5BCD"/>
    <w:rsid w:val="008E6AC5"/>
    <w:rsid w:val="008E77CE"/>
    <w:rsid w:val="008E7CA6"/>
    <w:rsid w:val="008F63C5"/>
    <w:rsid w:val="00903CED"/>
    <w:rsid w:val="009070E7"/>
    <w:rsid w:val="00907FA6"/>
    <w:rsid w:val="00910BDD"/>
    <w:rsid w:val="00910ED3"/>
    <w:rsid w:val="0091152B"/>
    <w:rsid w:val="00913347"/>
    <w:rsid w:val="00915D6F"/>
    <w:rsid w:val="009161A1"/>
    <w:rsid w:val="00921C5B"/>
    <w:rsid w:val="00922F22"/>
    <w:rsid w:val="00924EB3"/>
    <w:rsid w:val="00932796"/>
    <w:rsid w:val="0094120F"/>
    <w:rsid w:val="00943872"/>
    <w:rsid w:val="00945CF8"/>
    <w:rsid w:val="00947677"/>
    <w:rsid w:val="009521E5"/>
    <w:rsid w:val="00953CD7"/>
    <w:rsid w:val="0095507F"/>
    <w:rsid w:val="0095563D"/>
    <w:rsid w:val="00955725"/>
    <w:rsid w:val="00955EA7"/>
    <w:rsid w:val="00956F5B"/>
    <w:rsid w:val="00957DBB"/>
    <w:rsid w:val="0096013B"/>
    <w:rsid w:val="00960ED7"/>
    <w:rsid w:val="00960F4A"/>
    <w:rsid w:val="00961677"/>
    <w:rsid w:val="00966360"/>
    <w:rsid w:val="00966DD2"/>
    <w:rsid w:val="009675F0"/>
    <w:rsid w:val="00970236"/>
    <w:rsid w:val="009719EB"/>
    <w:rsid w:val="00974CF6"/>
    <w:rsid w:val="0097565E"/>
    <w:rsid w:val="00976F84"/>
    <w:rsid w:val="00983A8B"/>
    <w:rsid w:val="00985A39"/>
    <w:rsid w:val="0099403E"/>
    <w:rsid w:val="00995063"/>
    <w:rsid w:val="009A71AA"/>
    <w:rsid w:val="009B1778"/>
    <w:rsid w:val="009B436F"/>
    <w:rsid w:val="009B5AEB"/>
    <w:rsid w:val="009B72E3"/>
    <w:rsid w:val="009C1185"/>
    <w:rsid w:val="009C581D"/>
    <w:rsid w:val="009C6A25"/>
    <w:rsid w:val="009C7EE5"/>
    <w:rsid w:val="009D0EB4"/>
    <w:rsid w:val="009D671F"/>
    <w:rsid w:val="009E0E97"/>
    <w:rsid w:val="009E1275"/>
    <w:rsid w:val="009E1455"/>
    <w:rsid w:val="009E4C10"/>
    <w:rsid w:val="009E5B7D"/>
    <w:rsid w:val="009E6DD0"/>
    <w:rsid w:val="009F2510"/>
    <w:rsid w:val="009F31B3"/>
    <w:rsid w:val="009F466B"/>
    <w:rsid w:val="009F7251"/>
    <w:rsid w:val="00A04580"/>
    <w:rsid w:val="00A05EB8"/>
    <w:rsid w:val="00A106A9"/>
    <w:rsid w:val="00A1085C"/>
    <w:rsid w:val="00A14F03"/>
    <w:rsid w:val="00A1551B"/>
    <w:rsid w:val="00A2762B"/>
    <w:rsid w:val="00A3178F"/>
    <w:rsid w:val="00A31BC8"/>
    <w:rsid w:val="00A344AA"/>
    <w:rsid w:val="00A36DD8"/>
    <w:rsid w:val="00A4175D"/>
    <w:rsid w:val="00A437EE"/>
    <w:rsid w:val="00A44B59"/>
    <w:rsid w:val="00A51E1F"/>
    <w:rsid w:val="00A56CAD"/>
    <w:rsid w:val="00A6015C"/>
    <w:rsid w:val="00A61DC9"/>
    <w:rsid w:val="00A73616"/>
    <w:rsid w:val="00A75143"/>
    <w:rsid w:val="00A768D5"/>
    <w:rsid w:val="00A7756F"/>
    <w:rsid w:val="00A7787F"/>
    <w:rsid w:val="00A77BC4"/>
    <w:rsid w:val="00A821BF"/>
    <w:rsid w:val="00A84D17"/>
    <w:rsid w:val="00A973EF"/>
    <w:rsid w:val="00A978ED"/>
    <w:rsid w:val="00A97C61"/>
    <w:rsid w:val="00AA1491"/>
    <w:rsid w:val="00AA3242"/>
    <w:rsid w:val="00AB108C"/>
    <w:rsid w:val="00AB20E3"/>
    <w:rsid w:val="00AB2B9F"/>
    <w:rsid w:val="00AB7810"/>
    <w:rsid w:val="00AC3C4D"/>
    <w:rsid w:val="00AC472A"/>
    <w:rsid w:val="00AC4F03"/>
    <w:rsid w:val="00AD08F9"/>
    <w:rsid w:val="00AD0F37"/>
    <w:rsid w:val="00AD39F3"/>
    <w:rsid w:val="00AD4131"/>
    <w:rsid w:val="00AE095E"/>
    <w:rsid w:val="00AE0B9C"/>
    <w:rsid w:val="00AE0F9C"/>
    <w:rsid w:val="00AE232A"/>
    <w:rsid w:val="00AE60FB"/>
    <w:rsid w:val="00AE7A54"/>
    <w:rsid w:val="00AF1CBC"/>
    <w:rsid w:val="00AF218D"/>
    <w:rsid w:val="00AF74EE"/>
    <w:rsid w:val="00B0037E"/>
    <w:rsid w:val="00B00CC2"/>
    <w:rsid w:val="00B0392D"/>
    <w:rsid w:val="00B03E41"/>
    <w:rsid w:val="00B03EAF"/>
    <w:rsid w:val="00B05D3E"/>
    <w:rsid w:val="00B0776A"/>
    <w:rsid w:val="00B077B2"/>
    <w:rsid w:val="00B11C69"/>
    <w:rsid w:val="00B20479"/>
    <w:rsid w:val="00B21CFF"/>
    <w:rsid w:val="00B21EF5"/>
    <w:rsid w:val="00B22646"/>
    <w:rsid w:val="00B25109"/>
    <w:rsid w:val="00B25421"/>
    <w:rsid w:val="00B275D0"/>
    <w:rsid w:val="00B31F37"/>
    <w:rsid w:val="00B361EB"/>
    <w:rsid w:val="00B41773"/>
    <w:rsid w:val="00B42A8C"/>
    <w:rsid w:val="00B451C1"/>
    <w:rsid w:val="00B4645A"/>
    <w:rsid w:val="00B5517B"/>
    <w:rsid w:val="00B559E8"/>
    <w:rsid w:val="00B611B0"/>
    <w:rsid w:val="00B6629E"/>
    <w:rsid w:val="00B676B2"/>
    <w:rsid w:val="00B72765"/>
    <w:rsid w:val="00B72D8D"/>
    <w:rsid w:val="00B76557"/>
    <w:rsid w:val="00B77098"/>
    <w:rsid w:val="00B87548"/>
    <w:rsid w:val="00B879D9"/>
    <w:rsid w:val="00B92A00"/>
    <w:rsid w:val="00B93F53"/>
    <w:rsid w:val="00B94402"/>
    <w:rsid w:val="00B97AC5"/>
    <w:rsid w:val="00BA352D"/>
    <w:rsid w:val="00BA74F0"/>
    <w:rsid w:val="00BB0876"/>
    <w:rsid w:val="00BB0FB1"/>
    <w:rsid w:val="00BB1C98"/>
    <w:rsid w:val="00BB3A1D"/>
    <w:rsid w:val="00BB7AA8"/>
    <w:rsid w:val="00BC0272"/>
    <w:rsid w:val="00BC04A9"/>
    <w:rsid w:val="00BC106F"/>
    <w:rsid w:val="00BC14A6"/>
    <w:rsid w:val="00BC2FC0"/>
    <w:rsid w:val="00BC5D61"/>
    <w:rsid w:val="00BD0890"/>
    <w:rsid w:val="00BD22A6"/>
    <w:rsid w:val="00BD2A52"/>
    <w:rsid w:val="00BD3475"/>
    <w:rsid w:val="00BD4F95"/>
    <w:rsid w:val="00BE33ED"/>
    <w:rsid w:val="00BE37E9"/>
    <w:rsid w:val="00BF1AC3"/>
    <w:rsid w:val="00BF2160"/>
    <w:rsid w:val="00BF2AF5"/>
    <w:rsid w:val="00BF611F"/>
    <w:rsid w:val="00BF6765"/>
    <w:rsid w:val="00C006F8"/>
    <w:rsid w:val="00C01056"/>
    <w:rsid w:val="00C010EF"/>
    <w:rsid w:val="00C01139"/>
    <w:rsid w:val="00C02B80"/>
    <w:rsid w:val="00C0439F"/>
    <w:rsid w:val="00C06A7E"/>
    <w:rsid w:val="00C116A9"/>
    <w:rsid w:val="00C15157"/>
    <w:rsid w:val="00C1619C"/>
    <w:rsid w:val="00C16606"/>
    <w:rsid w:val="00C16F12"/>
    <w:rsid w:val="00C2130E"/>
    <w:rsid w:val="00C24469"/>
    <w:rsid w:val="00C3194A"/>
    <w:rsid w:val="00C34B05"/>
    <w:rsid w:val="00C34DBE"/>
    <w:rsid w:val="00C36002"/>
    <w:rsid w:val="00C36096"/>
    <w:rsid w:val="00C368C2"/>
    <w:rsid w:val="00C37AB7"/>
    <w:rsid w:val="00C37C19"/>
    <w:rsid w:val="00C43A4F"/>
    <w:rsid w:val="00C43B8B"/>
    <w:rsid w:val="00C477F5"/>
    <w:rsid w:val="00C52751"/>
    <w:rsid w:val="00C52C97"/>
    <w:rsid w:val="00C53336"/>
    <w:rsid w:val="00C60041"/>
    <w:rsid w:val="00C606C9"/>
    <w:rsid w:val="00C60968"/>
    <w:rsid w:val="00C6563D"/>
    <w:rsid w:val="00C666F1"/>
    <w:rsid w:val="00C66BCB"/>
    <w:rsid w:val="00C67AF9"/>
    <w:rsid w:val="00C70BD8"/>
    <w:rsid w:val="00C71137"/>
    <w:rsid w:val="00C719A9"/>
    <w:rsid w:val="00C732E8"/>
    <w:rsid w:val="00C744DF"/>
    <w:rsid w:val="00C7537D"/>
    <w:rsid w:val="00C768A4"/>
    <w:rsid w:val="00C77062"/>
    <w:rsid w:val="00C77F23"/>
    <w:rsid w:val="00C8196C"/>
    <w:rsid w:val="00C81981"/>
    <w:rsid w:val="00C86766"/>
    <w:rsid w:val="00C87555"/>
    <w:rsid w:val="00C87E18"/>
    <w:rsid w:val="00C87E89"/>
    <w:rsid w:val="00C900E2"/>
    <w:rsid w:val="00C9025B"/>
    <w:rsid w:val="00C90AB3"/>
    <w:rsid w:val="00C93627"/>
    <w:rsid w:val="00C93837"/>
    <w:rsid w:val="00C94696"/>
    <w:rsid w:val="00CB14D2"/>
    <w:rsid w:val="00CB1A9B"/>
    <w:rsid w:val="00CC0FFA"/>
    <w:rsid w:val="00CC1BED"/>
    <w:rsid w:val="00CC435A"/>
    <w:rsid w:val="00CC6A2F"/>
    <w:rsid w:val="00CD0A55"/>
    <w:rsid w:val="00CD440C"/>
    <w:rsid w:val="00CD6ACB"/>
    <w:rsid w:val="00CD6CEF"/>
    <w:rsid w:val="00CE0DC3"/>
    <w:rsid w:val="00CE1868"/>
    <w:rsid w:val="00CE4116"/>
    <w:rsid w:val="00CE48A0"/>
    <w:rsid w:val="00CE5833"/>
    <w:rsid w:val="00CE732E"/>
    <w:rsid w:val="00CE7BFA"/>
    <w:rsid w:val="00CF1AAE"/>
    <w:rsid w:val="00CF2FC8"/>
    <w:rsid w:val="00CF567E"/>
    <w:rsid w:val="00CF6ED0"/>
    <w:rsid w:val="00CF7E0C"/>
    <w:rsid w:val="00CF7E2F"/>
    <w:rsid w:val="00D044A9"/>
    <w:rsid w:val="00D05906"/>
    <w:rsid w:val="00D06C17"/>
    <w:rsid w:val="00D07EF5"/>
    <w:rsid w:val="00D167EB"/>
    <w:rsid w:val="00D2051E"/>
    <w:rsid w:val="00D3121A"/>
    <w:rsid w:val="00D353CB"/>
    <w:rsid w:val="00D3649E"/>
    <w:rsid w:val="00D41E4B"/>
    <w:rsid w:val="00D4285D"/>
    <w:rsid w:val="00D431D4"/>
    <w:rsid w:val="00D450F7"/>
    <w:rsid w:val="00D46124"/>
    <w:rsid w:val="00D51AFF"/>
    <w:rsid w:val="00D51F13"/>
    <w:rsid w:val="00D5398D"/>
    <w:rsid w:val="00D55BF9"/>
    <w:rsid w:val="00D563B0"/>
    <w:rsid w:val="00D568EB"/>
    <w:rsid w:val="00D600F7"/>
    <w:rsid w:val="00D60C33"/>
    <w:rsid w:val="00D61970"/>
    <w:rsid w:val="00D632BD"/>
    <w:rsid w:val="00D64E46"/>
    <w:rsid w:val="00D6555E"/>
    <w:rsid w:val="00D6580A"/>
    <w:rsid w:val="00D66200"/>
    <w:rsid w:val="00D70178"/>
    <w:rsid w:val="00D71886"/>
    <w:rsid w:val="00D72F6E"/>
    <w:rsid w:val="00D75930"/>
    <w:rsid w:val="00D7697E"/>
    <w:rsid w:val="00D80EF3"/>
    <w:rsid w:val="00D853C4"/>
    <w:rsid w:val="00D86694"/>
    <w:rsid w:val="00D876B0"/>
    <w:rsid w:val="00D87D52"/>
    <w:rsid w:val="00D90DFE"/>
    <w:rsid w:val="00D910BE"/>
    <w:rsid w:val="00D917FE"/>
    <w:rsid w:val="00D92C8E"/>
    <w:rsid w:val="00D92CC1"/>
    <w:rsid w:val="00D938E6"/>
    <w:rsid w:val="00DA13A2"/>
    <w:rsid w:val="00DA662E"/>
    <w:rsid w:val="00DB0E51"/>
    <w:rsid w:val="00DB1873"/>
    <w:rsid w:val="00DB532E"/>
    <w:rsid w:val="00DB5C48"/>
    <w:rsid w:val="00DC3E3C"/>
    <w:rsid w:val="00DC5C45"/>
    <w:rsid w:val="00DC7311"/>
    <w:rsid w:val="00DD0016"/>
    <w:rsid w:val="00DD12FE"/>
    <w:rsid w:val="00DD19A5"/>
    <w:rsid w:val="00DD3FD5"/>
    <w:rsid w:val="00DE5416"/>
    <w:rsid w:val="00E00A88"/>
    <w:rsid w:val="00E02EAF"/>
    <w:rsid w:val="00E04456"/>
    <w:rsid w:val="00E04A08"/>
    <w:rsid w:val="00E10AA6"/>
    <w:rsid w:val="00E121F4"/>
    <w:rsid w:val="00E14587"/>
    <w:rsid w:val="00E15EE4"/>
    <w:rsid w:val="00E211D4"/>
    <w:rsid w:val="00E21697"/>
    <w:rsid w:val="00E240FB"/>
    <w:rsid w:val="00E3183A"/>
    <w:rsid w:val="00E34B2D"/>
    <w:rsid w:val="00E37F09"/>
    <w:rsid w:val="00E41546"/>
    <w:rsid w:val="00E43AFA"/>
    <w:rsid w:val="00E50931"/>
    <w:rsid w:val="00E52D77"/>
    <w:rsid w:val="00E54CA5"/>
    <w:rsid w:val="00E5542B"/>
    <w:rsid w:val="00E5752D"/>
    <w:rsid w:val="00E63901"/>
    <w:rsid w:val="00E6435D"/>
    <w:rsid w:val="00E650BA"/>
    <w:rsid w:val="00E71280"/>
    <w:rsid w:val="00E72334"/>
    <w:rsid w:val="00E7530D"/>
    <w:rsid w:val="00E7711D"/>
    <w:rsid w:val="00E81D9A"/>
    <w:rsid w:val="00E81FE8"/>
    <w:rsid w:val="00E837C2"/>
    <w:rsid w:val="00E87C7E"/>
    <w:rsid w:val="00E90E41"/>
    <w:rsid w:val="00E9146C"/>
    <w:rsid w:val="00EA16CF"/>
    <w:rsid w:val="00EA32FE"/>
    <w:rsid w:val="00EA381D"/>
    <w:rsid w:val="00EA4D7E"/>
    <w:rsid w:val="00EA7FBA"/>
    <w:rsid w:val="00EB09BD"/>
    <w:rsid w:val="00EB4326"/>
    <w:rsid w:val="00EB48A5"/>
    <w:rsid w:val="00EB48E1"/>
    <w:rsid w:val="00EB53EC"/>
    <w:rsid w:val="00EB7B13"/>
    <w:rsid w:val="00EC1073"/>
    <w:rsid w:val="00EC19EE"/>
    <w:rsid w:val="00EC2C78"/>
    <w:rsid w:val="00EC313A"/>
    <w:rsid w:val="00EC4963"/>
    <w:rsid w:val="00EC55D7"/>
    <w:rsid w:val="00EC5F85"/>
    <w:rsid w:val="00ED1313"/>
    <w:rsid w:val="00ED22D6"/>
    <w:rsid w:val="00ED3702"/>
    <w:rsid w:val="00ED46A2"/>
    <w:rsid w:val="00ED4A09"/>
    <w:rsid w:val="00ED71D8"/>
    <w:rsid w:val="00EE1D6E"/>
    <w:rsid w:val="00EE66E1"/>
    <w:rsid w:val="00EE7199"/>
    <w:rsid w:val="00EF0FFD"/>
    <w:rsid w:val="00EF2CA7"/>
    <w:rsid w:val="00EF35D6"/>
    <w:rsid w:val="00EF436B"/>
    <w:rsid w:val="00EF4574"/>
    <w:rsid w:val="00F029B2"/>
    <w:rsid w:val="00F03CAD"/>
    <w:rsid w:val="00F05C11"/>
    <w:rsid w:val="00F05FB9"/>
    <w:rsid w:val="00F10023"/>
    <w:rsid w:val="00F127B3"/>
    <w:rsid w:val="00F13DE4"/>
    <w:rsid w:val="00F148E1"/>
    <w:rsid w:val="00F161C1"/>
    <w:rsid w:val="00F16D31"/>
    <w:rsid w:val="00F23150"/>
    <w:rsid w:val="00F23CAE"/>
    <w:rsid w:val="00F246C8"/>
    <w:rsid w:val="00F24963"/>
    <w:rsid w:val="00F267D3"/>
    <w:rsid w:val="00F26F0D"/>
    <w:rsid w:val="00F31411"/>
    <w:rsid w:val="00F32BB2"/>
    <w:rsid w:val="00F33E68"/>
    <w:rsid w:val="00F36E64"/>
    <w:rsid w:val="00F407FE"/>
    <w:rsid w:val="00F41C68"/>
    <w:rsid w:val="00F439C3"/>
    <w:rsid w:val="00F47365"/>
    <w:rsid w:val="00F55558"/>
    <w:rsid w:val="00F56A39"/>
    <w:rsid w:val="00F56E5A"/>
    <w:rsid w:val="00F659E2"/>
    <w:rsid w:val="00F67681"/>
    <w:rsid w:val="00F7200C"/>
    <w:rsid w:val="00F82C56"/>
    <w:rsid w:val="00F83819"/>
    <w:rsid w:val="00F85313"/>
    <w:rsid w:val="00F85FB9"/>
    <w:rsid w:val="00F8636B"/>
    <w:rsid w:val="00F86A2F"/>
    <w:rsid w:val="00F86E6E"/>
    <w:rsid w:val="00F93CEE"/>
    <w:rsid w:val="00F9493C"/>
    <w:rsid w:val="00F951D8"/>
    <w:rsid w:val="00F96132"/>
    <w:rsid w:val="00FA0EF2"/>
    <w:rsid w:val="00FA489C"/>
    <w:rsid w:val="00FA5E7A"/>
    <w:rsid w:val="00FA6B78"/>
    <w:rsid w:val="00FB0137"/>
    <w:rsid w:val="00FB3437"/>
    <w:rsid w:val="00FB3D1A"/>
    <w:rsid w:val="00FB6EF5"/>
    <w:rsid w:val="00FB7129"/>
    <w:rsid w:val="00FB7776"/>
    <w:rsid w:val="00FC0971"/>
    <w:rsid w:val="00FC1252"/>
    <w:rsid w:val="00FC3C49"/>
    <w:rsid w:val="00FC3E5F"/>
    <w:rsid w:val="00FC491A"/>
    <w:rsid w:val="00FC558E"/>
    <w:rsid w:val="00FD0CAA"/>
    <w:rsid w:val="00FD25DB"/>
    <w:rsid w:val="00FD45DA"/>
    <w:rsid w:val="00FD73F5"/>
    <w:rsid w:val="00FE0888"/>
    <w:rsid w:val="00FE09D1"/>
    <w:rsid w:val="00FE577A"/>
    <w:rsid w:val="00FE68CC"/>
    <w:rsid w:val="00FE7C5F"/>
    <w:rsid w:val="00FF102A"/>
    <w:rsid w:val="00FF31F4"/>
    <w:rsid w:val="00FF4460"/>
    <w:rsid w:val="00FF5913"/>
    <w:rsid w:val="00FF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BD58F2"/>
  <w14:defaultImageDpi w14:val="300"/>
  <w15:docId w15:val="{8F16F1C3-C4EE-1D4B-BA96-F47B7F58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uiPriority w:val="99"/>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iPriority w:val="99"/>
    <w:unhideWhenUsed/>
    <w:rsid w:val="005D5B38"/>
    <w:rPr>
      <w:sz w:val="18"/>
      <w:szCs w:val="18"/>
    </w:rPr>
  </w:style>
  <w:style w:type="paragraph" w:styleId="CommentText">
    <w:name w:val="annotation text"/>
    <w:basedOn w:val="Normal"/>
    <w:link w:val="CommentTextChar"/>
    <w:uiPriority w:val="99"/>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uiPriority w:val="99"/>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DarkList-Accent51">
    <w:name w:val="Dark List - Accent 51"/>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paragraph" w:styleId="Revision">
    <w:name w:val="Revision"/>
    <w:hidden/>
    <w:uiPriority w:val="71"/>
    <w:semiHidden/>
    <w:rsid w:val="00BA352D"/>
    <w:rPr>
      <w:sz w:val="24"/>
    </w:rPr>
  </w:style>
  <w:style w:type="character" w:styleId="Strong">
    <w:name w:val="Strong"/>
    <w:basedOn w:val="DefaultParagraphFont"/>
    <w:qFormat/>
    <w:rsid w:val="00DA662E"/>
    <w:rPr>
      <w:b/>
      <w:bCs/>
    </w:rPr>
  </w:style>
  <w:style w:type="character" w:styleId="UnresolvedMention">
    <w:name w:val="Unresolved Mention"/>
    <w:basedOn w:val="DefaultParagraphFont"/>
    <w:uiPriority w:val="99"/>
    <w:semiHidden/>
    <w:unhideWhenUsed/>
    <w:rsid w:val="004F2003"/>
    <w:rPr>
      <w:color w:val="605E5C"/>
      <w:shd w:val="clear" w:color="auto" w:fill="E1DFDD"/>
    </w:rPr>
  </w:style>
  <w:style w:type="paragraph" w:styleId="Subtitle">
    <w:name w:val="Subtitle"/>
    <w:basedOn w:val="Normal"/>
    <w:next w:val="Normal"/>
    <w:link w:val="SubtitleChar"/>
    <w:qFormat/>
    <w:rsid w:val="009675F0"/>
    <w:pPr>
      <w:spacing w:after="60"/>
      <w:jc w:val="center"/>
      <w:outlineLvl w:val="1"/>
    </w:pPr>
    <w:rPr>
      <w:rFonts w:ascii="Calibri" w:eastAsia="MS Gothic" w:hAnsi="Calibri"/>
      <w:szCs w:val="24"/>
    </w:rPr>
  </w:style>
  <w:style w:type="character" w:customStyle="1" w:styleId="SubtitleChar">
    <w:name w:val="Subtitle Char"/>
    <w:basedOn w:val="DefaultParagraphFont"/>
    <w:link w:val="Subtitle"/>
    <w:rsid w:val="009675F0"/>
    <w:rPr>
      <w:rFonts w:ascii="Calibri" w:eastAsia="MS Gothic" w:hAnsi="Calibri"/>
      <w:sz w:val="24"/>
      <w:szCs w:val="24"/>
    </w:rPr>
  </w:style>
  <w:style w:type="character" w:customStyle="1" w:styleId="break-words">
    <w:name w:val="break-words"/>
    <w:basedOn w:val="DefaultParagraphFont"/>
    <w:rsid w:val="00D05906"/>
  </w:style>
  <w:style w:type="paragraph" w:styleId="ListParagraph">
    <w:name w:val="List Paragraph"/>
    <w:basedOn w:val="Normal"/>
    <w:uiPriority w:val="34"/>
    <w:qFormat/>
    <w:rsid w:val="007F6465"/>
    <w:pPr>
      <w:ind w:left="720"/>
      <w:contextualSpacing/>
    </w:pPr>
    <w:rPr>
      <w:rFonts w:asciiTheme="minorHAnsi" w:eastAsiaTheme="minorHAnsi" w:hAnsiTheme="minorHAnsi" w:cstheme="minorBidi"/>
      <w:szCs w:val="24"/>
    </w:rPr>
  </w:style>
  <w:style w:type="character" w:customStyle="1" w:styleId="markedcontent">
    <w:name w:val="markedcontent"/>
    <w:basedOn w:val="DefaultParagraphFont"/>
    <w:rsid w:val="007F6465"/>
  </w:style>
  <w:style w:type="paragraph" w:styleId="PlainText">
    <w:name w:val="Plain Text"/>
    <w:basedOn w:val="Normal"/>
    <w:link w:val="PlainTextChar"/>
    <w:uiPriority w:val="99"/>
    <w:unhideWhenUsed/>
    <w:rsid w:val="007F6465"/>
    <w:rPr>
      <w:rFonts w:ascii="Arial" w:hAnsi="Arial" w:cs="Consolas"/>
      <w:sz w:val="20"/>
      <w:szCs w:val="21"/>
    </w:rPr>
  </w:style>
  <w:style w:type="character" w:customStyle="1" w:styleId="PlainTextChar">
    <w:name w:val="Plain Text Char"/>
    <w:basedOn w:val="DefaultParagraphFont"/>
    <w:link w:val="PlainText"/>
    <w:uiPriority w:val="99"/>
    <w:rsid w:val="007F6465"/>
    <w:rPr>
      <w:rFonts w:ascii="Arial" w:hAnsi="Arial"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397674145">
      <w:bodyDiv w:val="1"/>
      <w:marLeft w:val="0"/>
      <w:marRight w:val="0"/>
      <w:marTop w:val="0"/>
      <w:marBottom w:val="0"/>
      <w:divBdr>
        <w:top w:val="none" w:sz="0" w:space="0" w:color="auto"/>
        <w:left w:val="none" w:sz="0" w:space="0" w:color="auto"/>
        <w:bottom w:val="none" w:sz="0" w:space="0" w:color="auto"/>
        <w:right w:val="none" w:sz="0" w:space="0" w:color="auto"/>
      </w:divBdr>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1461">
      <w:bodyDiv w:val="1"/>
      <w:marLeft w:val="0"/>
      <w:marRight w:val="0"/>
      <w:marTop w:val="0"/>
      <w:marBottom w:val="0"/>
      <w:divBdr>
        <w:top w:val="none" w:sz="0" w:space="0" w:color="auto"/>
        <w:left w:val="none" w:sz="0" w:space="0" w:color="auto"/>
        <w:bottom w:val="none" w:sz="0" w:space="0" w:color="auto"/>
        <w:right w:val="none" w:sz="0" w:space="0" w:color="auto"/>
      </w:divBdr>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170756209">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629511292">
      <w:bodyDiv w:val="1"/>
      <w:marLeft w:val="0"/>
      <w:marRight w:val="0"/>
      <w:marTop w:val="0"/>
      <w:marBottom w:val="0"/>
      <w:divBdr>
        <w:top w:val="none" w:sz="0" w:space="0" w:color="auto"/>
        <w:left w:val="none" w:sz="0" w:space="0" w:color="auto"/>
        <w:bottom w:val="none" w:sz="0" w:space="0" w:color="auto"/>
        <w:right w:val="none" w:sz="0" w:space="0" w:color="auto"/>
      </w:divBdr>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006978782">
      <w:bodyDiv w:val="1"/>
      <w:marLeft w:val="0"/>
      <w:marRight w:val="0"/>
      <w:marTop w:val="0"/>
      <w:marBottom w:val="0"/>
      <w:divBdr>
        <w:top w:val="none" w:sz="0" w:space="0" w:color="auto"/>
        <w:left w:val="none" w:sz="0" w:space="0" w:color="auto"/>
        <w:bottom w:val="none" w:sz="0" w:space="0" w:color="auto"/>
        <w:right w:val="none" w:sz="0" w:space="0" w:color="auto"/>
      </w:divBdr>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AD729-AC9E-48EF-BAB9-A0D10A6B7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Settings\lutzkwa\Local Settings\Temporary Internet Files\OLK164\TubeliteSCE (3).dot</Template>
  <TotalTime>5</TotalTime>
  <Pages>4</Pages>
  <Words>1671</Words>
  <Characters>9530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Letterhead-BPG-New</vt:lpstr>
    </vt:vector>
  </TitlesOfParts>
  <Company>Tubelite Inc.</Company>
  <LinksUpToDate>false</LinksUpToDate>
  <CharactersWithSpaces>11179</CharactersWithSpaces>
  <SharedDoc>false</SharedDoc>
  <HLinks>
    <vt:vector size="12" baseType="variant">
      <vt:variant>
        <vt:i4>6553655</vt:i4>
      </vt:variant>
      <vt:variant>
        <vt:i4>3</vt:i4>
      </vt:variant>
      <vt:variant>
        <vt:i4>0</vt:i4>
      </vt:variant>
      <vt:variant>
        <vt:i4>5</vt:i4>
      </vt:variant>
      <vt:variant>
        <vt:lpwstr>http://www.jobs.net/jobs/tubeliteinc/en-us/</vt:lpwstr>
      </vt:variant>
      <vt:variant>
        <vt:lpwstr/>
      </vt:variant>
      <vt:variant>
        <vt:i4>2162787</vt:i4>
      </vt:variant>
      <vt:variant>
        <vt:i4>0</vt:i4>
      </vt:variant>
      <vt:variant>
        <vt:i4>0</vt:i4>
      </vt:variant>
      <vt:variant>
        <vt:i4>5</vt:i4>
      </vt:variant>
      <vt:variant>
        <vt:lpwstr>http://www.tubeliteinc.com/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creator>Walt Lutzke</dc:creator>
  <cp:lastModifiedBy>Heather West</cp:lastModifiedBy>
  <cp:revision>6</cp:revision>
  <cp:lastPrinted>2021-05-09T16:05:00Z</cp:lastPrinted>
  <dcterms:created xsi:type="dcterms:W3CDTF">2023-04-13T19:59:00Z</dcterms:created>
  <dcterms:modified xsi:type="dcterms:W3CDTF">2023-04-13T21:39:00Z</dcterms:modified>
</cp:coreProperties>
</file>