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EF5F2" w14:textId="435200CD" w:rsidR="00B93302" w:rsidRPr="000C6664" w:rsidRDefault="005E2909"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w:t>
      </w:r>
      <w:r w:rsidRPr="000C6664">
        <w:rPr>
          <w:rFonts w:ascii="Helvetica-Narrow" w:hAnsi="Helvetica-Narrow"/>
          <w:sz w:val="56"/>
        </w:rPr>
        <w:t xml:space="preserve">s </w:t>
      </w:r>
      <w:r w:rsidR="00B93302" w:rsidRPr="000C6664">
        <w:rPr>
          <w:rFonts w:ascii="Helvetica" w:hAnsi="Helvetica"/>
          <w:sz w:val="56"/>
        </w:rPr>
        <w:t>I</w:t>
      </w:r>
      <w:r w:rsidR="00B93302" w:rsidRPr="000C6664">
        <w:rPr>
          <w:rFonts w:ascii="Helvetica-Narrow" w:hAnsi="Helvetica-Narrow"/>
          <w:sz w:val="56"/>
        </w:rPr>
        <w:t>nformation</w:t>
      </w:r>
    </w:p>
    <w:p w14:paraId="7DEDF65D" w14:textId="3BF5A08C" w:rsidR="00B93302" w:rsidRPr="002A4E20" w:rsidRDefault="005E2909"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00B93302" w:rsidRPr="002A4E20">
        <w:rPr>
          <w:rFonts w:ascii="Arial" w:hAnsi="Arial"/>
          <w:b/>
          <w:sz w:val="22"/>
          <w:szCs w:val="22"/>
        </w:rPr>
        <w:t xml:space="preserve"> Contacts:</w:t>
      </w:r>
    </w:p>
    <w:p w14:paraId="2D11497E"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0B3D3C6C" w14:textId="591D0029"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8"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47439FF3"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085C0745"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14:paraId="4D8F9B50"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9"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BE46C0" w:rsidRPr="00BE46C0">
        <w:rPr>
          <w:rFonts w:ascii="Arial" w:hAnsi="Arial" w:cs="Arial"/>
          <w:sz w:val="18"/>
          <w:szCs w:val="18"/>
        </w:rPr>
        <w:t>714-596-3574</w:t>
      </w:r>
    </w:p>
    <w:p w14:paraId="19461D36" w14:textId="43E725E2" w:rsidR="00305DAD" w:rsidRPr="008E0E3A" w:rsidRDefault="008F1618" w:rsidP="00305DAD">
      <w:pPr>
        <w:pStyle w:val="Title"/>
        <w:jc w:val="right"/>
        <w:rPr>
          <w:b w:val="0"/>
          <w:sz w:val="24"/>
          <w:szCs w:val="24"/>
        </w:rPr>
      </w:pPr>
      <w:r>
        <w:rPr>
          <w:b w:val="0"/>
          <w:sz w:val="24"/>
          <w:szCs w:val="24"/>
        </w:rPr>
        <w:t xml:space="preserve">February </w:t>
      </w:r>
      <w:r w:rsidR="00456425">
        <w:rPr>
          <w:b w:val="0"/>
          <w:sz w:val="24"/>
          <w:szCs w:val="24"/>
        </w:rPr>
        <w:t>20</w:t>
      </w:r>
      <w:r>
        <w:rPr>
          <w:b w:val="0"/>
          <w:sz w:val="24"/>
          <w:szCs w:val="24"/>
        </w:rPr>
        <w:t>, 201</w:t>
      </w:r>
      <w:r w:rsidR="00E17DAF">
        <w:rPr>
          <w:b w:val="0"/>
          <w:sz w:val="24"/>
          <w:szCs w:val="24"/>
        </w:rPr>
        <w:t>7</w:t>
      </w:r>
    </w:p>
    <w:p w14:paraId="31DB6F98" w14:textId="77777777" w:rsidR="00305DAD" w:rsidRPr="008E0E3A" w:rsidRDefault="00305DAD" w:rsidP="00305DAD">
      <w:pPr>
        <w:pStyle w:val="Title"/>
        <w:jc w:val="right"/>
        <w:rPr>
          <w:b w:val="0"/>
          <w:sz w:val="18"/>
          <w:szCs w:val="18"/>
        </w:rPr>
      </w:pPr>
    </w:p>
    <w:p w14:paraId="37EE2A64" w14:textId="64AC0B79" w:rsidR="00ED15D3" w:rsidRPr="00DD7D25" w:rsidRDefault="00DD7D25" w:rsidP="00ED15D3">
      <w:pPr>
        <w:pStyle w:val="Title"/>
        <w:spacing w:after="240"/>
        <w:rPr>
          <w:color w:val="auto"/>
        </w:rPr>
      </w:pPr>
      <w:r w:rsidRPr="00DD7D25">
        <w:rPr>
          <w:color w:val="auto"/>
        </w:rPr>
        <w:t xml:space="preserve">Sustainability Remains a Hot Topic </w:t>
      </w:r>
      <w:r w:rsidR="00ED15D3" w:rsidRPr="00DD7D25">
        <w:rPr>
          <w:color w:val="auto"/>
        </w:rPr>
        <w:t>at AAMA 80th Annual Conference</w:t>
      </w:r>
      <w:r>
        <w:rPr>
          <w:color w:val="auto"/>
        </w:rPr>
        <w:t>; Speakers Discuss Role of Fenestration</w:t>
      </w:r>
    </w:p>
    <w:p w14:paraId="7FD17AC6" w14:textId="4A8EB13E" w:rsidR="00367A21" w:rsidRPr="00456425" w:rsidRDefault="00A41F02" w:rsidP="00456425">
      <w:pPr>
        <w:pStyle w:val="NormalWeb"/>
        <w:spacing w:before="0" w:beforeAutospacing="0" w:after="0" w:afterAutospacing="0"/>
        <w:rPr>
          <w:rStyle w:val="Emphasis"/>
          <w:rFonts w:ascii="Arial" w:hAnsi="Arial" w:cs="Arial"/>
          <w:i w:val="0"/>
          <w:sz w:val="20"/>
          <w:szCs w:val="20"/>
        </w:rPr>
      </w:pPr>
      <w:r w:rsidRPr="00ED15D3">
        <w:rPr>
          <w:rFonts w:ascii="Arial" w:hAnsi="Arial" w:cs="Arial"/>
          <w:sz w:val="20"/>
          <w:szCs w:val="20"/>
        </w:rPr>
        <w:t xml:space="preserve">SCHAUMBURG, IL - </w:t>
      </w:r>
      <w:r w:rsidR="00DE2D70" w:rsidRPr="00456425">
        <w:rPr>
          <w:rFonts w:ascii="Arial" w:hAnsi="Arial" w:cs="Arial"/>
          <w:sz w:val="20"/>
          <w:szCs w:val="20"/>
        </w:rPr>
        <w:t xml:space="preserve">The American Architectural Manufacturers Association (AAMA) heard from a number of speakers and presenters focused on green building topics and sustainability at the AAMA 80th Annual Conference in Phoenix, AZ </w:t>
      </w:r>
      <w:r w:rsidR="00456425">
        <w:rPr>
          <w:rFonts w:ascii="Arial" w:hAnsi="Arial" w:cs="Arial"/>
          <w:sz w:val="20"/>
          <w:szCs w:val="20"/>
        </w:rPr>
        <w:t>(</w:t>
      </w:r>
      <w:r w:rsidR="00DE2D70" w:rsidRPr="00456425">
        <w:rPr>
          <w:rFonts w:ascii="Arial" w:hAnsi="Arial" w:cs="Arial"/>
          <w:sz w:val="20"/>
          <w:szCs w:val="20"/>
        </w:rPr>
        <w:t>February 12-15</w:t>
      </w:r>
      <w:r w:rsidR="00456425">
        <w:rPr>
          <w:rFonts w:ascii="Arial" w:hAnsi="Arial" w:cs="Arial"/>
          <w:sz w:val="20"/>
          <w:szCs w:val="20"/>
        </w:rPr>
        <w:t>)</w:t>
      </w:r>
      <w:r w:rsidR="00DE2D70" w:rsidRPr="00456425">
        <w:rPr>
          <w:rFonts w:ascii="Arial" w:hAnsi="Arial" w:cs="Arial"/>
          <w:sz w:val="20"/>
          <w:szCs w:val="20"/>
        </w:rPr>
        <w:t xml:space="preserve">. </w:t>
      </w:r>
      <w:r w:rsidR="006B261F">
        <w:rPr>
          <w:rFonts w:ascii="Arial" w:hAnsi="Arial" w:cs="Arial"/>
          <w:sz w:val="20"/>
          <w:szCs w:val="20"/>
        </w:rPr>
        <w:t xml:space="preserve">Participants </w:t>
      </w:r>
      <w:r w:rsidR="007A25D0">
        <w:rPr>
          <w:rFonts w:ascii="Arial" w:hAnsi="Arial" w:cs="Arial"/>
          <w:sz w:val="20"/>
          <w:szCs w:val="20"/>
        </w:rPr>
        <w:t>heard</w:t>
      </w:r>
      <w:r w:rsidR="006B261F">
        <w:rPr>
          <w:rFonts w:ascii="Arial" w:hAnsi="Arial" w:cs="Arial"/>
          <w:sz w:val="20"/>
          <w:szCs w:val="20"/>
        </w:rPr>
        <w:t xml:space="preserve"> up</w:t>
      </w:r>
      <w:r w:rsidR="00DE2D70" w:rsidRPr="00456425">
        <w:rPr>
          <w:rFonts w:ascii="Arial" w:hAnsi="Arial" w:cs="Arial"/>
          <w:sz w:val="20"/>
          <w:szCs w:val="20"/>
        </w:rPr>
        <w:t xml:space="preserve">coming </w:t>
      </w:r>
      <w:r w:rsidR="006B261F" w:rsidRPr="00456425">
        <w:rPr>
          <w:rFonts w:ascii="Arial" w:hAnsi="Arial" w:cs="Arial"/>
          <w:sz w:val="20"/>
          <w:szCs w:val="20"/>
        </w:rPr>
        <w:t xml:space="preserve">changes </w:t>
      </w:r>
      <w:r w:rsidR="00DE2D70" w:rsidRPr="00456425">
        <w:rPr>
          <w:rFonts w:ascii="Arial" w:hAnsi="Arial" w:cs="Arial"/>
          <w:sz w:val="20"/>
          <w:szCs w:val="20"/>
        </w:rPr>
        <w:t>to California’s Prop</w:t>
      </w:r>
      <w:r w:rsidR="00BB6B0C">
        <w:rPr>
          <w:rFonts w:ascii="Arial" w:hAnsi="Arial" w:cs="Arial"/>
          <w:sz w:val="20"/>
          <w:szCs w:val="20"/>
        </w:rPr>
        <w:t>osition</w:t>
      </w:r>
      <w:r w:rsidR="00DE2D70" w:rsidRPr="00456425">
        <w:rPr>
          <w:rFonts w:ascii="Arial" w:hAnsi="Arial" w:cs="Arial"/>
          <w:sz w:val="20"/>
          <w:szCs w:val="20"/>
        </w:rPr>
        <w:t xml:space="preserve"> 65, </w:t>
      </w:r>
      <w:r w:rsidR="007A25D0">
        <w:rPr>
          <w:rFonts w:ascii="Arial" w:hAnsi="Arial" w:cs="Arial"/>
          <w:sz w:val="20"/>
          <w:szCs w:val="20"/>
        </w:rPr>
        <w:t xml:space="preserve">as well as </w:t>
      </w:r>
      <w:r w:rsidR="00DE2D70" w:rsidRPr="00456425">
        <w:rPr>
          <w:rFonts w:ascii="Arial" w:hAnsi="Arial" w:cs="Arial"/>
          <w:sz w:val="20"/>
          <w:szCs w:val="20"/>
        </w:rPr>
        <w:t xml:space="preserve">an overview of </w:t>
      </w:r>
      <w:r w:rsidR="003A2FD3">
        <w:rPr>
          <w:rFonts w:ascii="Arial" w:hAnsi="Arial" w:cs="Arial"/>
          <w:sz w:val="20"/>
          <w:szCs w:val="20"/>
        </w:rPr>
        <w:t>Environmental Product Declarations (</w:t>
      </w:r>
      <w:r w:rsidR="00DE2D70" w:rsidRPr="00456425">
        <w:rPr>
          <w:rFonts w:ascii="Arial" w:hAnsi="Arial" w:cs="Arial"/>
          <w:sz w:val="20"/>
          <w:szCs w:val="20"/>
        </w:rPr>
        <w:t>EPDs</w:t>
      </w:r>
      <w:r w:rsidR="003A2FD3">
        <w:rPr>
          <w:rFonts w:ascii="Arial" w:hAnsi="Arial" w:cs="Arial"/>
          <w:sz w:val="20"/>
          <w:szCs w:val="20"/>
        </w:rPr>
        <w:t>)</w:t>
      </w:r>
      <w:r w:rsidR="00DE2D70" w:rsidRPr="00456425">
        <w:rPr>
          <w:rFonts w:ascii="Arial" w:hAnsi="Arial" w:cs="Arial"/>
          <w:sz w:val="20"/>
          <w:szCs w:val="20"/>
        </w:rPr>
        <w:t xml:space="preserve">, </w:t>
      </w:r>
      <w:r w:rsidR="00E327C9">
        <w:rPr>
          <w:rFonts w:ascii="Arial" w:hAnsi="Arial" w:cs="Arial"/>
          <w:sz w:val="20"/>
          <w:szCs w:val="20"/>
        </w:rPr>
        <w:t xml:space="preserve">the importance of </w:t>
      </w:r>
      <w:r w:rsidR="00DE2D70" w:rsidRPr="00456425">
        <w:rPr>
          <w:rFonts w:ascii="Arial" w:hAnsi="Arial" w:cs="Arial"/>
          <w:sz w:val="20"/>
          <w:szCs w:val="20"/>
        </w:rPr>
        <w:t xml:space="preserve">sustainable cities and </w:t>
      </w:r>
      <w:r w:rsidR="00E327C9">
        <w:rPr>
          <w:rFonts w:ascii="Arial" w:hAnsi="Arial" w:cs="Arial"/>
          <w:sz w:val="20"/>
          <w:szCs w:val="20"/>
        </w:rPr>
        <w:t>the manufacturer’s role in reaching consumers</w:t>
      </w:r>
      <w:r w:rsidR="00456425">
        <w:rPr>
          <w:rFonts w:ascii="Arial" w:hAnsi="Arial" w:cs="Arial"/>
          <w:sz w:val="20"/>
          <w:szCs w:val="20"/>
        </w:rPr>
        <w:t>.</w:t>
      </w:r>
      <w:r w:rsidR="00456425">
        <w:rPr>
          <w:rFonts w:ascii="Arial" w:hAnsi="Arial" w:cs="Arial"/>
          <w:sz w:val="20"/>
          <w:szCs w:val="20"/>
        </w:rPr>
        <w:br/>
      </w:r>
      <w:r w:rsidR="00456425">
        <w:rPr>
          <w:rFonts w:ascii="Arial" w:hAnsi="Arial" w:cs="Arial"/>
          <w:sz w:val="20"/>
          <w:szCs w:val="20"/>
        </w:rPr>
        <w:br/>
      </w:r>
      <w:r w:rsidR="00BB6B0C" w:rsidRPr="00BB6B0C">
        <w:rPr>
          <w:rFonts w:ascii="Arial" w:hAnsi="Arial" w:cs="Arial"/>
          <w:b/>
          <w:color w:val="000000"/>
          <w:sz w:val="20"/>
          <w:szCs w:val="20"/>
        </w:rPr>
        <w:t>Prop 65</w:t>
      </w:r>
      <w:r w:rsidR="00BB6B0C">
        <w:rPr>
          <w:rFonts w:ascii="Arial" w:hAnsi="Arial" w:cs="Arial"/>
          <w:b/>
          <w:color w:val="000000"/>
          <w:sz w:val="20"/>
          <w:szCs w:val="20"/>
        </w:rPr>
        <w:t xml:space="preserve"> Regulations and Amendments</w:t>
      </w:r>
      <w:bookmarkStart w:id="0" w:name="_GoBack"/>
      <w:bookmarkEnd w:id="0"/>
      <w:r w:rsidR="00BB6B0C" w:rsidRPr="00BB6B0C">
        <w:rPr>
          <w:rFonts w:ascii="Arial" w:hAnsi="Arial" w:cs="Arial"/>
          <w:b/>
          <w:color w:val="000000"/>
          <w:sz w:val="20"/>
          <w:szCs w:val="20"/>
        </w:rPr>
        <w:br/>
      </w:r>
      <w:r w:rsidR="00DE2D70" w:rsidRPr="00456425">
        <w:rPr>
          <w:rFonts w:ascii="Arial" w:hAnsi="Arial" w:cs="Arial"/>
          <w:color w:val="000000"/>
          <w:sz w:val="20"/>
          <w:szCs w:val="20"/>
        </w:rPr>
        <w:t xml:space="preserve">John Nolan of the </w:t>
      </w:r>
      <w:hyperlink r:id="rId10" w:history="1">
        <w:r w:rsidR="00DE2D70" w:rsidRPr="00456425">
          <w:rPr>
            <w:rStyle w:val="Hyperlink"/>
            <w:rFonts w:ascii="Arial" w:hAnsi="Arial" w:cs="Arial"/>
            <w:sz w:val="20"/>
            <w:szCs w:val="20"/>
          </w:rPr>
          <w:t>Gary Law Group</w:t>
        </w:r>
      </w:hyperlink>
      <w:r w:rsidR="00DE2D70" w:rsidRPr="00456425">
        <w:rPr>
          <w:rFonts w:ascii="Arial" w:hAnsi="Arial" w:cs="Arial"/>
          <w:color w:val="000000"/>
          <w:sz w:val="20"/>
          <w:szCs w:val="20"/>
        </w:rPr>
        <w:t xml:space="preserve"> spoke about California</w:t>
      </w:r>
      <w:r w:rsidR="007A25D0">
        <w:rPr>
          <w:rFonts w:ascii="Arial" w:hAnsi="Arial" w:cs="Arial"/>
          <w:color w:val="000000"/>
          <w:sz w:val="20"/>
          <w:szCs w:val="20"/>
        </w:rPr>
        <w:t xml:space="preserve"> Prop 65 and the changes expected </w:t>
      </w:r>
      <w:r w:rsidR="00DE2D70" w:rsidRPr="00456425">
        <w:rPr>
          <w:rFonts w:ascii="Arial" w:hAnsi="Arial" w:cs="Arial"/>
          <w:color w:val="000000"/>
          <w:sz w:val="20"/>
          <w:szCs w:val="20"/>
        </w:rPr>
        <w:t xml:space="preserve">in 2018. Prop 65 </w:t>
      </w:r>
      <w:r w:rsidR="007A25D0">
        <w:rPr>
          <w:rFonts w:ascii="Arial" w:hAnsi="Arial" w:cs="Arial"/>
          <w:color w:val="000000"/>
          <w:sz w:val="20"/>
          <w:szCs w:val="20"/>
        </w:rPr>
        <w:t>covers</w:t>
      </w:r>
      <w:r w:rsidR="00DE2D70" w:rsidRPr="00456425">
        <w:rPr>
          <w:rFonts w:ascii="Arial" w:hAnsi="Arial" w:cs="Arial"/>
          <w:color w:val="000000"/>
          <w:sz w:val="20"/>
          <w:szCs w:val="20"/>
        </w:rPr>
        <w:t xml:space="preserve"> the warning for certain chemicals that the state has deemed potentially harmful</w:t>
      </w:r>
      <w:r w:rsidR="007A25D0">
        <w:rPr>
          <w:rFonts w:ascii="Arial" w:hAnsi="Arial" w:cs="Arial"/>
          <w:color w:val="000000"/>
          <w:sz w:val="20"/>
          <w:szCs w:val="20"/>
        </w:rPr>
        <w:t xml:space="preserve">, </w:t>
      </w:r>
      <w:r w:rsidR="00DE2D70" w:rsidRPr="00456425">
        <w:rPr>
          <w:rFonts w:ascii="Arial" w:hAnsi="Arial" w:cs="Arial"/>
          <w:color w:val="000000"/>
          <w:sz w:val="20"/>
          <w:szCs w:val="20"/>
        </w:rPr>
        <w:t>call</w:t>
      </w:r>
      <w:r w:rsidR="007A25D0">
        <w:rPr>
          <w:rFonts w:ascii="Arial" w:hAnsi="Arial" w:cs="Arial"/>
          <w:color w:val="000000"/>
          <w:sz w:val="20"/>
          <w:szCs w:val="20"/>
        </w:rPr>
        <w:t>ing</w:t>
      </w:r>
      <w:r w:rsidR="00DE2D70" w:rsidRPr="00456425">
        <w:rPr>
          <w:rFonts w:ascii="Arial" w:hAnsi="Arial" w:cs="Arial"/>
          <w:color w:val="000000"/>
          <w:sz w:val="20"/>
          <w:szCs w:val="20"/>
        </w:rPr>
        <w:t xml:space="preserve"> for specific labeling to warn consumers. However, some o</w:t>
      </w:r>
      <w:r w:rsidR="007A25D0">
        <w:rPr>
          <w:rFonts w:ascii="Arial" w:hAnsi="Arial" w:cs="Arial"/>
          <w:color w:val="000000"/>
          <w:sz w:val="20"/>
          <w:szCs w:val="20"/>
        </w:rPr>
        <w:t xml:space="preserve">f the warning language and </w:t>
      </w:r>
      <w:r w:rsidR="00DE2D70" w:rsidRPr="00456425">
        <w:rPr>
          <w:rFonts w:ascii="Arial" w:hAnsi="Arial" w:cs="Arial"/>
          <w:color w:val="000000"/>
          <w:sz w:val="20"/>
          <w:szCs w:val="20"/>
        </w:rPr>
        <w:t xml:space="preserve">Prop 65 definitions will </w:t>
      </w:r>
      <w:r w:rsidR="007A25D0">
        <w:rPr>
          <w:rFonts w:ascii="Arial" w:hAnsi="Arial" w:cs="Arial"/>
          <w:color w:val="000000"/>
          <w:sz w:val="20"/>
          <w:szCs w:val="20"/>
        </w:rPr>
        <w:t>change</w:t>
      </w:r>
      <w:r w:rsidR="00DE2D70" w:rsidRPr="00456425">
        <w:rPr>
          <w:rFonts w:ascii="Arial" w:hAnsi="Arial" w:cs="Arial"/>
          <w:color w:val="000000"/>
          <w:sz w:val="20"/>
          <w:szCs w:val="20"/>
        </w:rPr>
        <w:t xml:space="preserve"> before a revised version goes into effect August 30, 2018.</w:t>
      </w:r>
      <w:r w:rsidR="00456425">
        <w:rPr>
          <w:rFonts w:ascii="Arial" w:hAnsi="Arial" w:cs="Arial"/>
          <w:color w:val="000000"/>
          <w:sz w:val="20"/>
          <w:szCs w:val="20"/>
        </w:rPr>
        <w:br/>
      </w:r>
      <w:r w:rsidR="00456425">
        <w:rPr>
          <w:rFonts w:ascii="Arial" w:hAnsi="Arial" w:cs="Arial"/>
          <w:color w:val="000000"/>
          <w:sz w:val="20"/>
          <w:szCs w:val="20"/>
        </w:rPr>
        <w:br/>
      </w:r>
      <w:r w:rsidR="00DE2D70" w:rsidRPr="00456425">
        <w:rPr>
          <w:rFonts w:ascii="Arial" w:hAnsi="Arial" w:cs="Arial"/>
          <w:sz w:val="20"/>
          <w:szCs w:val="20"/>
        </w:rPr>
        <w:t>“Clearer information is needed,” said Nolan. “The existing language is perhaps not as clear as it should be, and the existing regulations have</w:t>
      </w:r>
      <w:r w:rsidR="00456425">
        <w:rPr>
          <w:rFonts w:ascii="Arial" w:hAnsi="Arial" w:cs="Arial"/>
          <w:sz w:val="20"/>
          <w:szCs w:val="20"/>
        </w:rPr>
        <w:t xml:space="preserve"> not been amended in 25 years.”</w:t>
      </w:r>
      <w:r w:rsidR="00456425">
        <w:rPr>
          <w:rFonts w:ascii="Arial" w:hAnsi="Arial" w:cs="Arial"/>
          <w:sz w:val="20"/>
          <w:szCs w:val="20"/>
        </w:rPr>
        <w:br/>
      </w:r>
      <w:r w:rsidR="00456425">
        <w:rPr>
          <w:rFonts w:ascii="Arial" w:hAnsi="Arial" w:cs="Arial"/>
          <w:sz w:val="20"/>
          <w:szCs w:val="20"/>
        </w:rPr>
        <w:br/>
      </w:r>
      <w:r w:rsidR="00DE2D70" w:rsidRPr="00456425">
        <w:rPr>
          <w:rFonts w:ascii="Arial" w:hAnsi="Arial" w:cs="Arial"/>
          <w:sz w:val="20"/>
          <w:szCs w:val="20"/>
        </w:rPr>
        <w:t>Additionally, Nolan said, there's a need for assisting non-English speakers in California.</w:t>
      </w:r>
      <w:r w:rsidR="00456425">
        <w:rPr>
          <w:rFonts w:ascii="Arial" w:hAnsi="Arial" w:cs="Arial"/>
          <w:sz w:val="20"/>
          <w:szCs w:val="20"/>
        </w:rPr>
        <w:br/>
      </w:r>
      <w:r w:rsidR="00456425">
        <w:rPr>
          <w:rFonts w:ascii="Arial" w:hAnsi="Arial" w:cs="Arial"/>
          <w:sz w:val="20"/>
          <w:szCs w:val="20"/>
        </w:rPr>
        <w:br/>
      </w:r>
      <w:r w:rsidR="00DE2D70" w:rsidRPr="00456425">
        <w:rPr>
          <w:rFonts w:ascii="Arial" w:hAnsi="Arial" w:cs="Arial"/>
          <w:sz w:val="20"/>
          <w:szCs w:val="20"/>
        </w:rPr>
        <w:t>Prop 65 is not a ban on certain chemicals, and it's not a criminal statute. It's enforced through civil court proceedings. The Office of Environmental Health Hazard Assessment (OEHHA) is the state entity responsible for its implementation. The state is required to publish list of chemicals "known to the state of CA to cause cancer or reproductive toxicity." It’s now up to around 900 chemicals, and the list is updated yearly, said Nolan.</w:t>
      </w:r>
      <w:r w:rsidR="00456425">
        <w:rPr>
          <w:rFonts w:ascii="Arial" w:hAnsi="Arial" w:cs="Arial"/>
          <w:sz w:val="20"/>
          <w:szCs w:val="20"/>
        </w:rPr>
        <w:br/>
      </w:r>
      <w:r w:rsidR="00456425">
        <w:rPr>
          <w:rFonts w:ascii="Arial" w:hAnsi="Arial" w:cs="Arial"/>
          <w:sz w:val="20"/>
          <w:szCs w:val="20"/>
        </w:rPr>
        <w:br/>
      </w:r>
      <w:r w:rsidR="007A25D0">
        <w:rPr>
          <w:rFonts w:ascii="Arial" w:hAnsi="Arial" w:cs="Arial"/>
          <w:sz w:val="20"/>
          <w:szCs w:val="20"/>
        </w:rPr>
        <w:t>“</w:t>
      </w:r>
      <w:r w:rsidR="00DE2D70" w:rsidRPr="00456425">
        <w:rPr>
          <w:rFonts w:ascii="Arial" w:hAnsi="Arial" w:cs="Arial"/>
          <w:sz w:val="20"/>
          <w:szCs w:val="20"/>
        </w:rPr>
        <w:t xml:space="preserve">If a warning is needed, it must be clear and reasonable, per Section 25601 of the Act. The warning </w:t>
      </w:r>
      <w:r w:rsidR="007A25D0" w:rsidRPr="00456425">
        <w:rPr>
          <w:rFonts w:ascii="Arial" w:hAnsi="Arial" w:cs="Arial"/>
          <w:sz w:val="20"/>
          <w:szCs w:val="20"/>
        </w:rPr>
        <w:t>must</w:t>
      </w:r>
      <w:r w:rsidR="00DE2D70" w:rsidRPr="00456425">
        <w:rPr>
          <w:rFonts w:ascii="Arial" w:hAnsi="Arial" w:cs="Arial"/>
          <w:sz w:val="20"/>
          <w:szCs w:val="20"/>
        </w:rPr>
        <w:t xml:space="preserve"> be prominently placed on a product's label. Warnings will say, in the future, that a person </w:t>
      </w:r>
      <w:r w:rsidR="007A25D0">
        <w:rPr>
          <w:rFonts w:ascii="Arial" w:hAnsi="Arial" w:cs="Arial"/>
          <w:sz w:val="20"/>
          <w:szCs w:val="20"/>
        </w:rPr>
        <w:t>‘</w:t>
      </w:r>
      <w:r w:rsidR="00DE2D70" w:rsidRPr="00456425">
        <w:rPr>
          <w:rFonts w:ascii="Arial" w:hAnsi="Arial" w:cs="Arial"/>
          <w:sz w:val="20"/>
          <w:szCs w:val="20"/>
        </w:rPr>
        <w:t>can be exposed</w:t>
      </w:r>
      <w:r w:rsidR="007A25D0">
        <w:rPr>
          <w:rFonts w:ascii="Arial" w:hAnsi="Arial" w:cs="Arial"/>
          <w:sz w:val="20"/>
          <w:szCs w:val="20"/>
        </w:rPr>
        <w:t>’</w:t>
      </w:r>
      <w:r w:rsidR="00DE2D70" w:rsidRPr="00456425">
        <w:rPr>
          <w:rFonts w:ascii="Arial" w:hAnsi="Arial" w:cs="Arial"/>
          <w:sz w:val="20"/>
          <w:szCs w:val="20"/>
        </w:rPr>
        <w:t xml:space="preserve"> to a listed chemical</w:t>
      </w:r>
      <w:r w:rsidR="007A25D0">
        <w:rPr>
          <w:rFonts w:ascii="Arial" w:hAnsi="Arial" w:cs="Arial"/>
          <w:sz w:val="20"/>
          <w:szCs w:val="20"/>
        </w:rPr>
        <w:t>,” according to Nolan</w:t>
      </w:r>
      <w:r w:rsidR="00DE2D70" w:rsidRPr="00456425">
        <w:rPr>
          <w:rFonts w:ascii="Arial" w:hAnsi="Arial" w:cs="Arial"/>
          <w:sz w:val="20"/>
          <w:szCs w:val="20"/>
        </w:rPr>
        <w:t>.</w:t>
      </w:r>
      <w:r w:rsidR="00456425">
        <w:rPr>
          <w:rFonts w:ascii="Arial" w:hAnsi="Arial" w:cs="Arial"/>
          <w:sz w:val="20"/>
          <w:szCs w:val="20"/>
        </w:rPr>
        <w:br/>
      </w:r>
      <w:r w:rsidR="00456425">
        <w:rPr>
          <w:rFonts w:ascii="Arial" w:hAnsi="Arial" w:cs="Arial"/>
          <w:sz w:val="20"/>
          <w:szCs w:val="20"/>
        </w:rPr>
        <w:br/>
      </w:r>
      <w:r w:rsidR="007A25D0">
        <w:rPr>
          <w:rFonts w:ascii="Arial" w:hAnsi="Arial" w:cs="Arial"/>
          <w:sz w:val="20"/>
          <w:szCs w:val="20"/>
        </w:rPr>
        <w:t>He also reiterated that t</w:t>
      </w:r>
      <w:r w:rsidR="00DE2D70" w:rsidRPr="00456425">
        <w:rPr>
          <w:rFonts w:ascii="Arial" w:hAnsi="Arial" w:cs="Arial"/>
          <w:sz w:val="20"/>
          <w:szCs w:val="20"/>
        </w:rPr>
        <w:t>he names o</w:t>
      </w:r>
      <w:r w:rsidR="007A25D0">
        <w:rPr>
          <w:rFonts w:ascii="Arial" w:hAnsi="Arial" w:cs="Arial"/>
          <w:sz w:val="20"/>
          <w:szCs w:val="20"/>
        </w:rPr>
        <w:t>f</w:t>
      </w:r>
      <w:r w:rsidR="00DE2D70" w:rsidRPr="00456425">
        <w:rPr>
          <w:rFonts w:ascii="Arial" w:hAnsi="Arial" w:cs="Arial"/>
          <w:sz w:val="20"/>
          <w:szCs w:val="20"/>
        </w:rPr>
        <w:t xml:space="preserve"> one or more listed chemicals must be included in the warning, plus a link to a website maintained by OEHHA. On the label, the word "WARNING" must be in all caps and bold. The language must comply with Prop 65 wording</w:t>
      </w:r>
      <w:r w:rsidR="007A25D0">
        <w:rPr>
          <w:rFonts w:ascii="Arial" w:hAnsi="Arial" w:cs="Arial"/>
          <w:sz w:val="20"/>
          <w:szCs w:val="20"/>
        </w:rPr>
        <w:t>, and t</w:t>
      </w:r>
      <w:r w:rsidR="00DE2D70" w:rsidRPr="00456425">
        <w:rPr>
          <w:rFonts w:ascii="Arial" w:hAnsi="Arial" w:cs="Arial"/>
          <w:sz w:val="20"/>
          <w:szCs w:val="20"/>
        </w:rPr>
        <w:t>he traditional yellow, triangular warning sign must be included on the label.</w:t>
      </w:r>
      <w:r w:rsidR="00456425">
        <w:rPr>
          <w:rFonts w:ascii="Arial" w:hAnsi="Arial" w:cs="Arial"/>
          <w:sz w:val="20"/>
          <w:szCs w:val="20"/>
        </w:rPr>
        <w:br/>
      </w:r>
      <w:r w:rsidR="00456425">
        <w:rPr>
          <w:rFonts w:ascii="Arial" w:hAnsi="Arial" w:cs="Arial"/>
          <w:sz w:val="20"/>
          <w:szCs w:val="20"/>
        </w:rPr>
        <w:br/>
      </w:r>
      <w:r w:rsidR="00DE2D70" w:rsidRPr="00456425">
        <w:rPr>
          <w:rFonts w:ascii="Arial" w:hAnsi="Arial" w:cs="Arial"/>
          <w:sz w:val="20"/>
          <w:szCs w:val="20"/>
        </w:rPr>
        <w:t>“What is your anticipated contact with the state of California?” asked Nolan. “This is something to consider. Know your distribution.”</w:t>
      </w:r>
      <w:r w:rsidR="00456425">
        <w:rPr>
          <w:rFonts w:ascii="Arial" w:hAnsi="Arial" w:cs="Arial"/>
          <w:sz w:val="20"/>
          <w:szCs w:val="20"/>
        </w:rPr>
        <w:br/>
      </w:r>
      <w:r w:rsidR="00456425">
        <w:rPr>
          <w:rFonts w:ascii="Arial" w:hAnsi="Arial" w:cs="Arial"/>
          <w:sz w:val="20"/>
          <w:szCs w:val="20"/>
        </w:rPr>
        <w:br/>
      </w:r>
      <w:r w:rsidR="00BB6B0C">
        <w:rPr>
          <w:rFonts w:ascii="Arial" w:hAnsi="Arial" w:cs="Arial"/>
          <w:b/>
          <w:color w:val="000000"/>
          <w:sz w:val="20"/>
          <w:szCs w:val="20"/>
        </w:rPr>
        <w:t>Business Value of EPDs</w:t>
      </w:r>
      <w:r w:rsidR="00BB6B0C" w:rsidRPr="00BB6B0C">
        <w:rPr>
          <w:rFonts w:ascii="Arial" w:hAnsi="Arial" w:cs="Arial"/>
          <w:b/>
          <w:color w:val="000000"/>
          <w:sz w:val="20"/>
          <w:szCs w:val="20"/>
        </w:rPr>
        <w:br/>
      </w:r>
      <w:r w:rsidR="00DE2D70" w:rsidRPr="00456425">
        <w:rPr>
          <w:rFonts w:ascii="Arial" w:hAnsi="Arial" w:cs="Arial"/>
          <w:color w:val="000000"/>
          <w:sz w:val="20"/>
          <w:szCs w:val="20"/>
        </w:rPr>
        <w:t xml:space="preserve">Vik Ahuja, a life cycle assessment consultant for </w:t>
      </w:r>
      <w:hyperlink r:id="rId11" w:history="1">
        <w:r w:rsidR="00DE2D70" w:rsidRPr="00456425">
          <w:rPr>
            <w:rStyle w:val="Hyperlink"/>
            <w:rFonts w:ascii="Arial" w:hAnsi="Arial" w:cs="Arial"/>
            <w:sz w:val="20"/>
            <w:szCs w:val="20"/>
          </w:rPr>
          <w:t>thinkstep</w:t>
        </w:r>
      </w:hyperlink>
      <w:r w:rsidR="00DE2D70" w:rsidRPr="00456425">
        <w:rPr>
          <w:rFonts w:ascii="Arial" w:hAnsi="Arial" w:cs="Arial"/>
          <w:color w:val="000000"/>
          <w:sz w:val="20"/>
          <w:szCs w:val="20"/>
        </w:rPr>
        <w:t xml:space="preserve">, presented </w:t>
      </w:r>
      <w:r w:rsidR="007A25D0">
        <w:rPr>
          <w:rFonts w:ascii="Arial" w:hAnsi="Arial" w:cs="Arial"/>
          <w:color w:val="000000"/>
          <w:sz w:val="20"/>
          <w:szCs w:val="20"/>
        </w:rPr>
        <w:t>“</w:t>
      </w:r>
      <w:r w:rsidR="00DE2D70" w:rsidRPr="00456425">
        <w:rPr>
          <w:rFonts w:ascii="Arial" w:hAnsi="Arial" w:cs="Arial"/>
          <w:color w:val="000000"/>
          <w:sz w:val="20"/>
          <w:szCs w:val="20"/>
        </w:rPr>
        <w:t>Why, How and Business Value of LCA and EPDs.</w:t>
      </w:r>
      <w:r w:rsidR="007A25D0">
        <w:rPr>
          <w:rFonts w:ascii="Arial" w:hAnsi="Arial" w:cs="Arial"/>
          <w:color w:val="000000"/>
          <w:sz w:val="20"/>
          <w:szCs w:val="20"/>
        </w:rPr>
        <w:t>”</w:t>
      </w:r>
      <w:r w:rsidR="00456425">
        <w:rPr>
          <w:rFonts w:ascii="Arial" w:hAnsi="Arial" w:cs="Arial"/>
          <w:color w:val="000000"/>
          <w:sz w:val="20"/>
          <w:szCs w:val="20"/>
        </w:rPr>
        <w:br/>
      </w:r>
      <w:r w:rsidR="00456425">
        <w:rPr>
          <w:rFonts w:ascii="Arial" w:hAnsi="Arial" w:cs="Arial"/>
          <w:color w:val="000000"/>
          <w:sz w:val="20"/>
          <w:szCs w:val="20"/>
        </w:rPr>
        <w:br/>
      </w:r>
      <w:r w:rsidR="00DE2D70" w:rsidRPr="00456425">
        <w:rPr>
          <w:rFonts w:ascii="Arial" w:hAnsi="Arial" w:cs="Arial"/>
          <w:sz w:val="20"/>
          <w:szCs w:val="20"/>
        </w:rPr>
        <w:t>Ahuja went over the acronyms: Product Category Rules (PCR), Life Cycle Assessment (LCA) and Environmental Product Declarations (EPD</w:t>
      </w:r>
      <w:r w:rsidR="00BB6B0C">
        <w:rPr>
          <w:rFonts w:ascii="Arial" w:hAnsi="Arial" w:cs="Arial"/>
          <w:sz w:val="20"/>
          <w:szCs w:val="20"/>
        </w:rPr>
        <w:t>s</w:t>
      </w:r>
      <w:r w:rsidR="00DE2D70" w:rsidRPr="00456425">
        <w:rPr>
          <w:rFonts w:ascii="Arial" w:hAnsi="Arial" w:cs="Arial"/>
          <w:sz w:val="20"/>
          <w:szCs w:val="20"/>
        </w:rPr>
        <w:t>).</w:t>
      </w:r>
      <w:r w:rsidR="00456425">
        <w:rPr>
          <w:rFonts w:ascii="Arial" w:hAnsi="Arial" w:cs="Arial"/>
          <w:sz w:val="20"/>
          <w:szCs w:val="20"/>
        </w:rPr>
        <w:br/>
      </w:r>
      <w:r w:rsidR="00456425">
        <w:rPr>
          <w:rFonts w:ascii="Arial" w:hAnsi="Arial" w:cs="Arial"/>
          <w:sz w:val="20"/>
          <w:szCs w:val="20"/>
        </w:rPr>
        <w:br/>
      </w:r>
      <w:r w:rsidR="00DE2D70" w:rsidRPr="00456425">
        <w:rPr>
          <w:rFonts w:ascii="Arial" w:hAnsi="Arial" w:cs="Arial"/>
          <w:sz w:val="20"/>
          <w:szCs w:val="20"/>
        </w:rPr>
        <w:t>“The LCA part takes about 80 percent of your project's time,” said Ahuja, “because analysis takes time.”</w:t>
      </w:r>
      <w:r w:rsidR="00456425" w:rsidRPr="00456425">
        <w:rPr>
          <w:rFonts w:ascii="Arial" w:hAnsi="Arial" w:cs="Arial"/>
          <w:sz w:val="20"/>
          <w:szCs w:val="20"/>
        </w:rPr>
        <w:br/>
      </w:r>
      <w:r w:rsidR="00456425" w:rsidRPr="00456425">
        <w:rPr>
          <w:rFonts w:ascii="Arial" w:hAnsi="Arial" w:cs="Arial"/>
          <w:sz w:val="20"/>
          <w:szCs w:val="20"/>
        </w:rPr>
        <w:br/>
      </w:r>
      <w:r w:rsidR="00DE2D70" w:rsidRPr="00456425">
        <w:rPr>
          <w:rFonts w:ascii="Arial" w:hAnsi="Arial" w:cs="Arial"/>
          <w:sz w:val="20"/>
          <w:szCs w:val="20"/>
        </w:rPr>
        <w:t>The PCR is the guideline, and you must have a PCR before you do an EPD,</w:t>
      </w:r>
      <w:r w:rsidR="007A25D0">
        <w:rPr>
          <w:rFonts w:ascii="Arial" w:hAnsi="Arial" w:cs="Arial"/>
          <w:sz w:val="20"/>
          <w:szCs w:val="20"/>
        </w:rPr>
        <w:t xml:space="preserve"> said Ahuja.</w:t>
      </w:r>
      <w:r w:rsidR="007A25D0">
        <w:rPr>
          <w:rFonts w:ascii="Arial" w:hAnsi="Arial" w:cs="Arial"/>
          <w:sz w:val="20"/>
          <w:szCs w:val="20"/>
        </w:rPr>
        <w:br/>
      </w:r>
      <w:r w:rsidR="007A25D0">
        <w:rPr>
          <w:rFonts w:ascii="Arial" w:hAnsi="Arial" w:cs="Arial"/>
          <w:sz w:val="20"/>
          <w:szCs w:val="20"/>
        </w:rPr>
        <w:br/>
      </w:r>
      <w:r w:rsidR="007A25D0">
        <w:rPr>
          <w:rFonts w:ascii="Arial" w:hAnsi="Arial" w:cs="Arial"/>
          <w:sz w:val="20"/>
          <w:szCs w:val="20"/>
        </w:rPr>
        <w:lastRenderedPageBreak/>
        <w:t>“</w:t>
      </w:r>
      <w:r w:rsidR="00DE2D70" w:rsidRPr="00456425">
        <w:rPr>
          <w:rFonts w:ascii="Arial" w:hAnsi="Arial" w:cs="Arial"/>
          <w:sz w:val="20"/>
          <w:szCs w:val="20"/>
        </w:rPr>
        <w:t xml:space="preserve">For residential products </w:t>
      </w:r>
      <w:r w:rsidR="00456425" w:rsidRPr="00456425">
        <w:rPr>
          <w:rFonts w:ascii="Arial" w:hAnsi="Arial" w:cs="Arial"/>
          <w:sz w:val="20"/>
          <w:szCs w:val="20"/>
        </w:rPr>
        <w:t>group, the PCR is the linchpin.</w:t>
      </w:r>
      <w:r w:rsidR="007A25D0">
        <w:rPr>
          <w:rFonts w:ascii="Arial" w:hAnsi="Arial" w:cs="Arial"/>
          <w:sz w:val="20"/>
          <w:szCs w:val="20"/>
        </w:rPr>
        <w:t xml:space="preserve"> </w:t>
      </w:r>
      <w:r w:rsidR="00DE2D70" w:rsidRPr="00456425">
        <w:rPr>
          <w:rFonts w:ascii="Arial" w:hAnsi="Arial" w:cs="Arial"/>
          <w:sz w:val="20"/>
          <w:szCs w:val="20"/>
        </w:rPr>
        <w:t>You need the PCR to plot your path forward with the LCA and EPD,” he said.</w:t>
      </w:r>
      <w:r w:rsidR="00456425" w:rsidRPr="00456425">
        <w:rPr>
          <w:rFonts w:ascii="Arial" w:hAnsi="Arial" w:cs="Arial"/>
          <w:sz w:val="20"/>
          <w:szCs w:val="20"/>
        </w:rPr>
        <w:br/>
      </w:r>
      <w:r w:rsidR="00456425" w:rsidRPr="00456425">
        <w:rPr>
          <w:rFonts w:ascii="Arial" w:hAnsi="Arial" w:cs="Arial"/>
          <w:sz w:val="20"/>
          <w:szCs w:val="20"/>
        </w:rPr>
        <w:br/>
      </w:r>
      <w:r w:rsidR="00DE2D70" w:rsidRPr="00456425">
        <w:rPr>
          <w:rFonts w:ascii="Arial" w:hAnsi="Arial" w:cs="Arial"/>
          <w:sz w:val="20"/>
          <w:szCs w:val="20"/>
        </w:rPr>
        <w:t>Ahuja encourage</w:t>
      </w:r>
      <w:r w:rsidR="007A25D0">
        <w:rPr>
          <w:rFonts w:ascii="Arial" w:hAnsi="Arial" w:cs="Arial"/>
          <w:sz w:val="20"/>
          <w:szCs w:val="20"/>
        </w:rPr>
        <w:t>d</w:t>
      </w:r>
      <w:r w:rsidR="00DE2D70" w:rsidRPr="00456425">
        <w:rPr>
          <w:rFonts w:ascii="Arial" w:hAnsi="Arial" w:cs="Arial"/>
          <w:sz w:val="20"/>
          <w:szCs w:val="20"/>
        </w:rPr>
        <w:t xml:space="preserve"> the use of products and materials for which verified life</w:t>
      </w:r>
      <w:r w:rsidR="007A25D0">
        <w:rPr>
          <w:rFonts w:ascii="Arial" w:hAnsi="Arial" w:cs="Arial"/>
          <w:sz w:val="20"/>
          <w:szCs w:val="20"/>
        </w:rPr>
        <w:t xml:space="preserve"> </w:t>
      </w:r>
      <w:r w:rsidR="00DE2D70" w:rsidRPr="00456425">
        <w:rPr>
          <w:rFonts w:ascii="Arial" w:hAnsi="Arial" w:cs="Arial"/>
          <w:sz w:val="20"/>
          <w:szCs w:val="20"/>
        </w:rPr>
        <w:t>cycle info</w:t>
      </w:r>
      <w:r w:rsidR="007A25D0">
        <w:rPr>
          <w:rFonts w:ascii="Arial" w:hAnsi="Arial" w:cs="Arial"/>
          <w:sz w:val="20"/>
          <w:szCs w:val="20"/>
        </w:rPr>
        <w:t>rmation</w:t>
      </w:r>
      <w:r w:rsidR="00DE2D70" w:rsidRPr="00456425">
        <w:rPr>
          <w:rFonts w:ascii="Arial" w:hAnsi="Arial" w:cs="Arial"/>
          <w:sz w:val="20"/>
          <w:szCs w:val="20"/>
        </w:rPr>
        <w:t xml:space="preserve"> is available. </w:t>
      </w:r>
      <w:r w:rsidR="007A25D0">
        <w:rPr>
          <w:rFonts w:ascii="Arial" w:hAnsi="Arial" w:cs="Arial"/>
          <w:sz w:val="20"/>
          <w:szCs w:val="20"/>
        </w:rPr>
        <w:br/>
      </w:r>
      <w:r w:rsidR="007A25D0">
        <w:rPr>
          <w:rFonts w:ascii="Arial" w:hAnsi="Arial" w:cs="Arial"/>
          <w:sz w:val="20"/>
          <w:szCs w:val="20"/>
        </w:rPr>
        <w:br/>
        <w:t>“</w:t>
      </w:r>
      <w:r w:rsidR="00DE2D70" w:rsidRPr="00456425">
        <w:rPr>
          <w:rFonts w:ascii="Arial" w:hAnsi="Arial" w:cs="Arial"/>
          <w:sz w:val="20"/>
          <w:szCs w:val="20"/>
        </w:rPr>
        <w:t>Use at least 20 different permanently installed products sourced from at least five different manufacturers that have a product-specific LCA, an industry-average EPD and a product-specific EPD</w:t>
      </w:r>
      <w:r w:rsidR="007A25D0">
        <w:rPr>
          <w:rFonts w:ascii="Arial" w:hAnsi="Arial" w:cs="Arial"/>
          <w:sz w:val="20"/>
          <w:szCs w:val="20"/>
        </w:rPr>
        <w:t>,” he said</w:t>
      </w:r>
      <w:r w:rsidR="00DE2D70" w:rsidRPr="00456425">
        <w:rPr>
          <w:rFonts w:ascii="Arial" w:hAnsi="Arial" w:cs="Arial"/>
          <w:sz w:val="20"/>
          <w:szCs w:val="20"/>
        </w:rPr>
        <w:t>.</w:t>
      </w:r>
      <w:r w:rsidR="00456425" w:rsidRPr="00456425">
        <w:rPr>
          <w:rFonts w:ascii="Arial" w:hAnsi="Arial" w:cs="Arial"/>
          <w:sz w:val="20"/>
          <w:szCs w:val="20"/>
        </w:rPr>
        <w:br/>
      </w:r>
      <w:r w:rsidR="00456425" w:rsidRPr="00456425">
        <w:rPr>
          <w:rFonts w:ascii="Arial" w:hAnsi="Arial" w:cs="Arial"/>
          <w:sz w:val="20"/>
          <w:szCs w:val="20"/>
        </w:rPr>
        <w:br/>
      </w:r>
      <w:r w:rsidR="007A25D0">
        <w:rPr>
          <w:rFonts w:ascii="Arial" w:hAnsi="Arial" w:cs="Arial"/>
          <w:sz w:val="20"/>
          <w:szCs w:val="20"/>
        </w:rPr>
        <w:t>According to Ahuja, a</w:t>
      </w:r>
      <w:r w:rsidR="00DE2D70" w:rsidRPr="00456425">
        <w:rPr>
          <w:rFonts w:ascii="Arial" w:hAnsi="Arial" w:cs="Arial"/>
          <w:sz w:val="20"/>
          <w:szCs w:val="20"/>
        </w:rPr>
        <w:t xml:space="preserve">n EPD can be done by </w:t>
      </w:r>
      <w:r w:rsidR="007A25D0">
        <w:rPr>
          <w:rFonts w:ascii="Arial" w:hAnsi="Arial" w:cs="Arial"/>
          <w:sz w:val="20"/>
          <w:szCs w:val="20"/>
        </w:rPr>
        <w:t xml:space="preserve">a </w:t>
      </w:r>
      <w:r w:rsidR="00DE2D70" w:rsidRPr="00456425">
        <w:rPr>
          <w:rFonts w:ascii="Arial" w:hAnsi="Arial" w:cs="Arial"/>
          <w:sz w:val="20"/>
          <w:szCs w:val="20"/>
        </w:rPr>
        <w:t>single manufacturer (product spec) or an entire industry. The budget for a product spec</w:t>
      </w:r>
      <w:r w:rsidR="007A25D0">
        <w:rPr>
          <w:rFonts w:ascii="Arial" w:hAnsi="Arial" w:cs="Arial"/>
          <w:sz w:val="20"/>
          <w:szCs w:val="20"/>
        </w:rPr>
        <w:t>ification</w:t>
      </w:r>
      <w:r w:rsidR="00DE2D70" w:rsidRPr="00456425">
        <w:rPr>
          <w:rFonts w:ascii="Arial" w:hAnsi="Arial" w:cs="Arial"/>
          <w:sz w:val="20"/>
          <w:szCs w:val="20"/>
        </w:rPr>
        <w:t xml:space="preserve"> could be between $40,000</w:t>
      </w:r>
      <w:r w:rsidR="007A25D0">
        <w:rPr>
          <w:rFonts w:ascii="Arial" w:hAnsi="Arial" w:cs="Arial"/>
          <w:sz w:val="20"/>
          <w:szCs w:val="20"/>
        </w:rPr>
        <w:t xml:space="preserve"> and </w:t>
      </w:r>
      <w:r w:rsidR="00DE2D70" w:rsidRPr="00456425">
        <w:rPr>
          <w:rFonts w:ascii="Arial" w:hAnsi="Arial" w:cs="Arial"/>
          <w:sz w:val="20"/>
          <w:szCs w:val="20"/>
        </w:rPr>
        <w:t>$50,000, and the budget for an industry-wide project could be between $80,000</w:t>
      </w:r>
      <w:r w:rsidR="007A25D0">
        <w:rPr>
          <w:rFonts w:ascii="Arial" w:hAnsi="Arial" w:cs="Arial"/>
          <w:sz w:val="20"/>
          <w:szCs w:val="20"/>
        </w:rPr>
        <w:t xml:space="preserve"> and </w:t>
      </w:r>
      <w:r w:rsidR="00DE2D70" w:rsidRPr="00456425">
        <w:rPr>
          <w:rFonts w:ascii="Arial" w:hAnsi="Arial" w:cs="Arial"/>
          <w:sz w:val="20"/>
          <w:szCs w:val="20"/>
        </w:rPr>
        <w:t>$100,000</w:t>
      </w:r>
      <w:r w:rsidR="007A25D0">
        <w:rPr>
          <w:rFonts w:ascii="Arial" w:hAnsi="Arial" w:cs="Arial"/>
          <w:sz w:val="20"/>
          <w:szCs w:val="20"/>
        </w:rPr>
        <w:t>, with t</w:t>
      </w:r>
      <w:r w:rsidR="00DE2D70" w:rsidRPr="00456425">
        <w:rPr>
          <w:rFonts w:ascii="Arial" w:hAnsi="Arial" w:cs="Arial"/>
          <w:sz w:val="20"/>
          <w:szCs w:val="20"/>
        </w:rPr>
        <w:t>he timeline rang</w:t>
      </w:r>
      <w:r w:rsidR="007A25D0">
        <w:rPr>
          <w:rFonts w:ascii="Arial" w:hAnsi="Arial" w:cs="Arial"/>
          <w:sz w:val="20"/>
          <w:szCs w:val="20"/>
        </w:rPr>
        <w:t>ing</w:t>
      </w:r>
      <w:r w:rsidR="00456425" w:rsidRPr="00456425">
        <w:rPr>
          <w:rFonts w:ascii="Arial" w:hAnsi="Arial" w:cs="Arial"/>
          <w:sz w:val="20"/>
          <w:szCs w:val="20"/>
        </w:rPr>
        <w:t xml:space="preserve"> between one and eight months.</w:t>
      </w:r>
      <w:r w:rsidR="00456425" w:rsidRPr="00456425">
        <w:rPr>
          <w:rFonts w:ascii="Arial" w:hAnsi="Arial" w:cs="Arial"/>
          <w:sz w:val="20"/>
          <w:szCs w:val="20"/>
        </w:rPr>
        <w:br/>
      </w:r>
      <w:r w:rsidR="00456425" w:rsidRPr="00456425">
        <w:rPr>
          <w:rFonts w:ascii="Arial" w:hAnsi="Arial" w:cs="Arial"/>
          <w:sz w:val="20"/>
          <w:szCs w:val="20"/>
        </w:rPr>
        <w:br/>
      </w:r>
      <w:r w:rsidR="007A25D0">
        <w:rPr>
          <w:rFonts w:ascii="Arial" w:hAnsi="Arial" w:cs="Arial"/>
          <w:sz w:val="20"/>
          <w:szCs w:val="20"/>
        </w:rPr>
        <w:t>When asked w</w:t>
      </w:r>
      <w:r w:rsidR="00DE2D70" w:rsidRPr="00456425">
        <w:rPr>
          <w:rFonts w:ascii="Arial" w:hAnsi="Arial" w:cs="Arial"/>
          <w:sz w:val="20"/>
          <w:szCs w:val="20"/>
        </w:rPr>
        <w:t xml:space="preserve">hy </w:t>
      </w:r>
      <w:r w:rsidR="007A25D0">
        <w:rPr>
          <w:rFonts w:ascii="Arial" w:hAnsi="Arial" w:cs="Arial"/>
          <w:sz w:val="20"/>
          <w:szCs w:val="20"/>
        </w:rPr>
        <w:t>manufacturers or the industry should go down this road, Ahuja replied, “</w:t>
      </w:r>
      <w:r w:rsidR="00DE2D70" w:rsidRPr="00456425">
        <w:rPr>
          <w:rFonts w:ascii="Arial" w:hAnsi="Arial" w:cs="Arial"/>
          <w:sz w:val="20"/>
          <w:szCs w:val="20"/>
        </w:rPr>
        <w:t>There’s demand.</w:t>
      </w:r>
      <w:r w:rsidR="00624AC4">
        <w:rPr>
          <w:rFonts w:ascii="Arial" w:hAnsi="Arial" w:cs="Arial"/>
          <w:sz w:val="20"/>
          <w:szCs w:val="20"/>
        </w:rPr>
        <w:t xml:space="preserve"> </w:t>
      </w:r>
      <w:r w:rsidR="00DE2D70" w:rsidRPr="00456425">
        <w:rPr>
          <w:rFonts w:ascii="Arial" w:hAnsi="Arial" w:cs="Arial"/>
          <w:sz w:val="20"/>
          <w:szCs w:val="20"/>
        </w:rPr>
        <w:t>Owners are dr</w:t>
      </w:r>
      <w:r w:rsidR="00624AC4">
        <w:rPr>
          <w:rFonts w:ascii="Arial" w:hAnsi="Arial" w:cs="Arial"/>
          <w:sz w:val="20"/>
          <w:szCs w:val="20"/>
        </w:rPr>
        <w:t xml:space="preserve">iving requirements for buildings, including </w:t>
      </w:r>
      <w:r w:rsidR="00DE2D70" w:rsidRPr="00456425">
        <w:rPr>
          <w:rFonts w:ascii="Arial" w:hAnsi="Arial" w:cs="Arial"/>
          <w:sz w:val="20"/>
          <w:szCs w:val="20"/>
        </w:rPr>
        <w:t xml:space="preserve">LEED </w:t>
      </w:r>
      <w:r w:rsidR="00624AC4">
        <w:rPr>
          <w:rFonts w:ascii="Arial" w:hAnsi="Arial" w:cs="Arial"/>
          <w:sz w:val="20"/>
          <w:szCs w:val="20"/>
        </w:rPr>
        <w:t>accreditation</w:t>
      </w:r>
      <w:r w:rsidR="00DE2D70" w:rsidRPr="00456425">
        <w:rPr>
          <w:rFonts w:ascii="Arial" w:hAnsi="Arial" w:cs="Arial"/>
          <w:sz w:val="20"/>
          <w:szCs w:val="20"/>
        </w:rPr>
        <w:t xml:space="preserve"> and energy efficien</w:t>
      </w:r>
      <w:r w:rsidR="00624AC4">
        <w:rPr>
          <w:rFonts w:ascii="Arial" w:hAnsi="Arial" w:cs="Arial"/>
          <w:sz w:val="20"/>
          <w:szCs w:val="20"/>
        </w:rPr>
        <w:t>cy</w:t>
      </w:r>
      <w:r w:rsidR="00DE2D70" w:rsidRPr="00456425">
        <w:rPr>
          <w:rFonts w:ascii="Arial" w:hAnsi="Arial" w:cs="Arial"/>
          <w:sz w:val="20"/>
          <w:szCs w:val="20"/>
        </w:rPr>
        <w:t>.”</w:t>
      </w:r>
      <w:r w:rsidR="00456425" w:rsidRPr="00456425">
        <w:rPr>
          <w:rFonts w:ascii="Arial" w:hAnsi="Arial" w:cs="Arial"/>
          <w:sz w:val="20"/>
          <w:szCs w:val="20"/>
        </w:rPr>
        <w:br/>
      </w:r>
      <w:r w:rsidR="00BB6B0C">
        <w:rPr>
          <w:rFonts w:ascii="Arial" w:hAnsi="Arial" w:cs="Arial"/>
          <w:sz w:val="20"/>
          <w:szCs w:val="20"/>
        </w:rPr>
        <w:br/>
      </w:r>
      <w:r w:rsidR="00BB6B0C" w:rsidRPr="00BB6B0C">
        <w:rPr>
          <w:rFonts w:ascii="Arial" w:hAnsi="Arial" w:cs="Arial"/>
          <w:b/>
          <w:sz w:val="20"/>
          <w:szCs w:val="20"/>
        </w:rPr>
        <w:t>Windows in Future Buildings</w:t>
      </w:r>
      <w:r w:rsidR="00456425" w:rsidRPr="00BB6B0C">
        <w:rPr>
          <w:rFonts w:ascii="Arial" w:hAnsi="Arial" w:cs="Arial"/>
          <w:b/>
          <w:sz w:val="20"/>
          <w:szCs w:val="20"/>
        </w:rPr>
        <w:br/>
      </w:r>
      <w:r w:rsidR="00DE2D70" w:rsidRPr="00456425">
        <w:rPr>
          <w:rFonts w:ascii="Arial" w:hAnsi="Arial" w:cs="Arial"/>
          <w:color w:val="000000"/>
          <w:sz w:val="20"/>
          <w:szCs w:val="20"/>
        </w:rPr>
        <w:t xml:space="preserve">Stephen Selkowitz, </w:t>
      </w:r>
      <w:r w:rsidR="00624AC4">
        <w:rPr>
          <w:rFonts w:ascii="Arial" w:hAnsi="Arial" w:cs="Arial"/>
          <w:color w:val="000000"/>
          <w:sz w:val="20"/>
          <w:szCs w:val="20"/>
        </w:rPr>
        <w:t>representing</w:t>
      </w:r>
      <w:r w:rsidR="00DE2D70" w:rsidRPr="00456425">
        <w:rPr>
          <w:rFonts w:ascii="Arial" w:hAnsi="Arial" w:cs="Arial"/>
          <w:color w:val="000000"/>
          <w:sz w:val="20"/>
          <w:szCs w:val="20"/>
        </w:rPr>
        <w:t xml:space="preserve"> the </w:t>
      </w:r>
      <w:hyperlink r:id="rId12" w:history="1">
        <w:r w:rsidR="00DE2D70" w:rsidRPr="00456425">
          <w:rPr>
            <w:rStyle w:val="Hyperlink"/>
            <w:rFonts w:ascii="Arial" w:hAnsi="Arial" w:cs="Arial"/>
            <w:sz w:val="20"/>
            <w:szCs w:val="20"/>
          </w:rPr>
          <w:t>Lawrence Berkeley National Laboratory</w:t>
        </w:r>
      </w:hyperlink>
      <w:r w:rsidR="00DE2D70" w:rsidRPr="00456425">
        <w:rPr>
          <w:rFonts w:ascii="Arial" w:hAnsi="Arial" w:cs="Arial"/>
          <w:color w:val="000000"/>
          <w:sz w:val="20"/>
          <w:szCs w:val="20"/>
        </w:rPr>
        <w:t xml:space="preserve">, presented </w:t>
      </w:r>
      <w:r w:rsidR="00624AC4">
        <w:rPr>
          <w:rFonts w:ascii="Arial" w:hAnsi="Arial" w:cs="Arial"/>
          <w:color w:val="000000"/>
          <w:sz w:val="20"/>
          <w:szCs w:val="20"/>
        </w:rPr>
        <w:t>“</w:t>
      </w:r>
      <w:r w:rsidR="00DE2D70" w:rsidRPr="00456425">
        <w:rPr>
          <w:rFonts w:ascii="Arial" w:hAnsi="Arial" w:cs="Arial"/>
          <w:color w:val="000000"/>
          <w:sz w:val="20"/>
          <w:szCs w:val="20"/>
        </w:rPr>
        <w:t>Windows in Future Buildings: Smart, Adaptive Solutions for Sustainable Cities.</w:t>
      </w:r>
      <w:r w:rsidR="00624AC4">
        <w:rPr>
          <w:rFonts w:ascii="Arial" w:hAnsi="Arial" w:cs="Arial"/>
          <w:color w:val="000000"/>
          <w:sz w:val="20"/>
          <w:szCs w:val="20"/>
        </w:rPr>
        <w:t>”</w:t>
      </w:r>
      <w:r w:rsidR="00456425" w:rsidRPr="00456425">
        <w:rPr>
          <w:rFonts w:ascii="Arial" w:hAnsi="Arial" w:cs="Arial"/>
          <w:color w:val="000000"/>
          <w:sz w:val="20"/>
          <w:szCs w:val="20"/>
        </w:rPr>
        <w:br/>
      </w:r>
      <w:r w:rsidR="00456425" w:rsidRPr="00456425">
        <w:rPr>
          <w:rFonts w:ascii="Arial" w:hAnsi="Arial" w:cs="Arial"/>
          <w:sz w:val="20"/>
          <w:szCs w:val="20"/>
        </w:rPr>
        <w:br/>
      </w:r>
      <w:r w:rsidR="00DE2D70" w:rsidRPr="00456425">
        <w:rPr>
          <w:rFonts w:ascii="Arial" w:hAnsi="Arial" w:cs="Arial"/>
          <w:sz w:val="20"/>
          <w:szCs w:val="20"/>
        </w:rPr>
        <w:t>“We need to be transforming the building industry,” advised Selkowitz. “A grain of sand starts as an irritant and winds up being a pearl.”</w:t>
      </w:r>
      <w:r w:rsidR="00456425" w:rsidRPr="00456425">
        <w:rPr>
          <w:rFonts w:ascii="Arial" w:hAnsi="Arial" w:cs="Arial"/>
          <w:sz w:val="20"/>
          <w:szCs w:val="20"/>
        </w:rPr>
        <w:br/>
      </w:r>
      <w:r w:rsidR="00456425" w:rsidRPr="00456425">
        <w:rPr>
          <w:rFonts w:ascii="Arial" w:hAnsi="Arial" w:cs="Arial"/>
          <w:sz w:val="20"/>
          <w:szCs w:val="20"/>
        </w:rPr>
        <w:br/>
      </w:r>
      <w:r w:rsidR="00DD7D25">
        <w:rPr>
          <w:rFonts w:ascii="Arial" w:hAnsi="Arial" w:cs="Arial"/>
          <w:sz w:val="20"/>
          <w:szCs w:val="20"/>
        </w:rPr>
        <w:t>“</w:t>
      </w:r>
      <w:r w:rsidR="00DE2D70" w:rsidRPr="00456425">
        <w:rPr>
          <w:rFonts w:ascii="Arial" w:hAnsi="Arial" w:cs="Arial"/>
          <w:sz w:val="20"/>
          <w:szCs w:val="20"/>
        </w:rPr>
        <w:t>Buildings consume 40 percent of total U.S. energy</w:t>
      </w:r>
      <w:r w:rsidR="00DD7D25">
        <w:rPr>
          <w:rFonts w:ascii="Arial" w:hAnsi="Arial" w:cs="Arial"/>
          <w:sz w:val="20"/>
          <w:szCs w:val="20"/>
        </w:rPr>
        <w:t>,</w:t>
      </w:r>
      <w:r w:rsidR="00DE2D70" w:rsidRPr="00456425">
        <w:rPr>
          <w:rFonts w:ascii="Arial" w:hAnsi="Arial" w:cs="Arial"/>
          <w:sz w:val="20"/>
          <w:szCs w:val="20"/>
        </w:rPr>
        <w:t xml:space="preserve"> and $500 per household is spent for window energy use each year. Windows, of course, don't consume energy, but they impact energy use when it comes to heating, cooling and lighting</w:t>
      </w:r>
      <w:r w:rsidR="00DD7D25">
        <w:rPr>
          <w:rFonts w:ascii="Arial" w:hAnsi="Arial" w:cs="Arial"/>
          <w:sz w:val="20"/>
          <w:szCs w:val="20"/>
        </w:rPr>
        <w:t xml:space="preserve">,” said Selkowitz. “Making a </w:t>
      </w:r>
      <w:r w:rsidR="00DE2D70" w:rsidRPr="00456425">
        <w:rPr>
          <w:rFonts w:ascii="Arial" w:hAnsi="Arial" w:cs="Arial"/>
          <w:sz w:val="20"/>
          <w:szCs w:val="20"/>
        </w:rPr>
        <w:t>better window increase</w:t>
      </w:r>
      <w:r w:rsidR="00DD7D25">
        <w:rPr>
          <w:rFonts w:ascii="Arial" w:hAnsi="Arial" w:cs="Arial"/>
          <w:sz w:val="20"/>
          <w:szCs w:val="20"/>
        </w:rPr>
        <w:t>s</w:t>
      </w:r>
      <w:r w:rsidR="00DE2D70" w:rsidRPr="00456425">
        <w:rPr>
          <w:rFonts w:ascii="Arial" w:hAnsi="Arial" w:cs="Arial"/>
          <w:sz w:val="20"/>
          <w:szCs w:val="20"/>
        </w:rPr>
        <w:t xml:space="preserve"> occupant benefits like view, comfort and health. </w:t>
      </w:r>
      <w:r w:rsidR="00DD7D25">
        <w:rPr>
          <w:rFonts w:ascii="Arial" w:hAnsi="Arial" w:cs="Arial"/>
          <w:sz w:val="20"/>
          <w:szCs w:val="20"/>
        </w:rPr>
        <w:t>Plus, y</w:t>
      </w:r>
      <w:r w:rsidR="00DE2D70" w:rsidRPr="00456425">
        <w:rPr>
          <w:rFonts w:ascii="Arial" w:hAnsi="Arial" w:cs="Arial"/>
          <w:sz w:val="20"/>
          <w:szCs w:val="20"/>
        </w:rPr>
        <w:t>ou’ll increase real estate market value.”</w:t>
      </w:r>
      <w:r w:rsidR="00456425" w:rsidRPr="00456425">
        <w:rPr>
          <w:rFonts w:ascii="Arial" w:hAnsi="Arial" w:cs="Arial"/>
          <w:sz w:val="20"/>
          <w:szCs w:val="20"/>
        </w:rPr>
        <w:br/>
      </w:r>
      <w:r w:rsidR="00456425" w:rsidRPr="00456425">
        <w:rPr>
          <w:rFonts w:ascii="Arial" w:hAnsi="Arial" w:cs="Arial"/>
          <w:sz w:val="20"/>
          <w:szCs w:val="20"/>
        </w:rPr>
        <w:br/>
      </w:r>
      <w:r w:rsidR="00DD7D25">
        <w:rPr>
          <w:rFonts w:ascii="Arial" w:hAnsi="Arial" w:cs="Arial"/>
          <w:sz w:val="20"/>
          <w:szCs w:val="20"/>
        </w:rPr>
        <w:t xml:space="preserve">However, he </w:t>
      </w:r>
      <w:r w:rsidR="00DE2D70" w:rsidRPr="00456425">
        <w:rPr>
          <w:rFonts w:ascii="Arial" w:hAnsi="Arial" w:cs="Arial"/>
          <w:sz w:val="20"/>
          <w:szCs w:val="20"/>
        </w:rPr>
        <w:t>offered a reality check</w:t>
      </w:r>
      <w:r w:rsidR="00DD7D25">
        <w:rPr>
          <w:rFonts w:ascii="Arial" w:hAnsi="Arial" w:cs="Arial"/>
          <w:sz w:val="20"/>
          <w:szCs w:val="20"/>
        </w:rPr>
        <w:t xml:space="preserve"> regarding guaranteeing building performance to building owners. “</w:t>
      </w:r>
      <w:r w:rsidR="00DE2D70" w:rsidRPr="00456425">
        <w:rPr>
          <w:rFonts w:ascii="Arial" w:hAnsi="Arial" w:cs="Arial"/>
          <w:sz w:val="20"/>
          <w:szCs w:val="20"/>
        </w:rPr>
        <w:t>Low</w:t>
      </w:r>
      <w:r w:rsidR="00DD7D25">
        <w:rPr>
          <w:rFonts w:ascii="Arial" w:hAnsi="Arial" w:cs="Arial"/>
          <w:sz w:val="20"/>
          <w:szCs w:val="20"/>
        </w:rPr>
        <w:t xml:space="preserve"> </w:t>
      </w:r>
      <w:r w:rsidR="00DE2D70" w:rsidRPr="00456425">
        <w:rPr>
          <w:rFonts w:ascii="Arial" w:hAnsi="Arial" w:cs="Arial"/>
          <w:sz w:val="20"/>
          <w:szCs w:val="20"/>
        </w:rPr>
        <w:t>energy buildings do not consistently perform as expected, and results will vary.</w:t>
      </w:r>
      <w:r w:rsidR="00DD7D25">
        <w:rPr>
          <w:rFonts w:ascii="Arial" w:hAnsi="Arial" w:cs="Arial"/>
          <w:sz w:val="20"/>
          <w:szCs w:val="20"/>
        </w:rPr>
        <w:t>”</w:t>
      </w:r>
      <w:r w:rsidR="00DE2D70" w:rsidRPr="00456425">
        <w:rPr>
          <w:rFonts w:ascii="Arial" w:hAnsi="Arial" w:cs="Arial"/>
          <w:sz w:val="20"/>
          <w:szCs w:val="20"/>
        </w:rPr>
        <w:t xml:space="preserve"> Still, Selkowitz had a suggestion for where to start for good results.</w:t>
      </w:r>
      <w:r w:rsidR="00456425" w:rsidRPr="00456425">
        <w:rPr>
          <w:rFonts w:ascii="Arial" w:hAnsi="Arial" w:cs="Arial"/>
          <w:sz w:val="20"/>
          <w:szCs w:val="20"/>
        </w:rPr>
        <w:br/>
      </w:r>
      <w:r w:rsidR="00456425" w:rsidRPr="00456425">
        <w:rPr>
          <w:rFonts w:ascii="Arial" w:hAnsi="Arial" w:cs="Arial"/>
          <w:sz w:val="20"/>
          <w:szCs w:val="20"/>
        </w:rPr>
        <w:br/>
      </w:r>
      <w:r w:rsidR="00DE2D70" w:rsidRPr="00456425">
        <w:rPr>
          <w:rFonts w:ascii="Arial" w:hAnsi="Arial" w:cs="Arial"/>
          <w:sz w:val="20"/>
          <w:szCs w:val="20"/>
        </w:rPr>
        <w:t>“We're putting our money on thin lightweight triple, a thin float glass with two low-e coatings and a krypton glass fill,” he said. “Krypton is one-third of the cost it was a couple years ago.”</w:t>
      </w:r>
      <w:r w:rsidR="00456425" w:rsidRPr="00456425">
        <w:rPr>
          <w:rFonts w:ascii="Arial" w:hAnsi="Arial" w:cs="Arial"/>
          <w:sz w:val="20"/>
          <w:szCs w:val="20"/>
        </w:rPr>
        <w:br/>
      </w:r>
      <w:r w:rsidR="00456425" w:rsidRPr="00456425">
        <w:rPr>
          <w:rFonts w:ascii="Arial" w:hAnsi="Arial" w:cs="Arial"/>
          <w:sz w:val="20"/>
          <w:szCs w:val="20"/>
        </w:rPr>
        <w:br/>
      </w:r>
      <w:r w:rsidR="00DE2D70" w:rsidRPr="00456425">
        <w:rPr>
          <w:rFonts w:ascii="Arial" w:hAnsi="Arial" w:cs="Arial"/>
          <w:sz w:val="20"/>
          <w:szCs w:val="20"/>
        </w:rPr>
        <w:t>He added that, at the end of the day, occupant satisfaction is crucial.</w:t>
      </w:r>
      <w:r w:rsidR="00456425" w:rsidRPr="00456425">
        <w:rPr>
          <w:rFonts w:ascii="Arial" w:hAnsi="Arial" w:cs="Arial"/>
          <w:sz w:val="20"/>
          <w:szCs w:val="20"/>
        </w:rPr>
        <w:br/>
      </w:r>
      <w:r w:rsidR="00456425" w:rsidRPr="00456425">
        <w:rPr>
          <w:rFonts w:ascii="Arial" w:hAnsi="Arial" w:cs="Arial"/>
          <w:sz w:val="20"/>
          <w:szCs w:val="20"/>
        </w:rPr>
        <w:br/>
      </w:r>
      <w:r w:rsidR="00DE2D70" w:rsidRPr="00456425">
        <w:rPr>
          <w:rFonts w:ascii="Arial" w:hAnsi="Arial" w:cs="Arial"/>
          <w:sz w:val="20"/>
          <w:szCs w:val="20"/>
        </w:rPr>
        <w:t>“People really care about the role daylight plays in spaces</w:t>
      </w:r>
      <w:r w:rsidR="00DD7D25">
        <w:rPr>
          <w:rFonts w:ascii="Arial" w:hAnsi="Arial" w:cs="Arial"/>
          <w:sz w:val="20"/>
          <w:szCs w:val="20"/>
        </w:rPr>
        <w:t>,</w:t>
      </w:r>
      <w:r w:rsidR="00DE2D70" w:rsidRPr="00456425">
        <w:rPr>
          <w:rFonts w:ascii="Arial" w:hAnsi="Arial" w:cs="Arial"/>
          <w:sz w:val="20"/>
          <w:szCs w:val="20"/>
        </w:rPr>
        <w:t xml:space="preserve"> and windows and skylights have a large part in that,” </w:t>
      </w:r>
      <w:r w:rsidR="00DD7D25">
        <w:rPr>
          <w:rFonts w:ascii="Arial" w:hAnsi="Arial" w:cs="Arial"/>
          <w:sz w:val="20"/>
          <w:szCs w:val="20"/>
        </w:rPr>
        <w:t>Selkowitz</w:t>
      </w:r>
      <w:r w:rsidR="00DE2D70" w:rsidRPr="00456425">
        <w:rPr>
          <w:rFonts w:ascii="Arial" w:hAnsi="Arial" w:cs="Arial"/>
          <w:sz w:val="20"/>
          <w:szCs w:val="20"/>
        </w:rPr>
        <w:t xml:space="preserve"> </w:t>
      </w:r>
      <w:r w:rsidR="00DD7D25">
        <w:rPr>
          <w:rFonts w:ascii="Arial" w:hAnsi="Arial" w:cs="Arial"/>
          <w:sz w:val="20"/>
          <w:szCs w:val="20"/>
        </w:rPr>
        <w:t>concluded</w:t>
      </w:r>
      <w:r w:rsidR="00DE2D70" w:rsidRPr="00456425">
        <w:rPr>
          <w:rFonts w:ascii="Arial" w:hAnsi="Arial" w:cs="Arial"/>
          <w:sz w:val="20"/>
          <w:szCs w:val="20"/>
        </w:rPr>
        <w:t>.</w:t>
      </w:r>
      <w:r w:rsidR="00456425" w:rsidRPr="00456425">
        <w:rPr>
          <w:rFonts w:ascii="Arial" w:hAnsi="Arial" w:cs="Arial"/>
          <w:sz w:val="20"/>
          <w:szCs w:val="20"/>
        </w:rPr>
        <w:br/>
      </w:r>
      <w:r w:rsidR="00BB6B0C">
        <w:rPr>
          <w:rFonts w:ascii="Arial" w:hAnsi="Arial" w:cs="Arial"/>
          <w:sz w:val="20"/>
          <w:szCs w:val="20"/>
        </w:rPr>
        <w:br/>
      </w:r>
      <w:r w:rsidR="00BB6B0C">
        <w:rPr>
          <w:rFonts w:ascii="Arial" w:hAnsi="Arial" w:cs="Arial"/>
          <w:b/>
          <w:sz w:val="20"/>
          <w:szCs w:val="20"/>
        </w:rPr>
        <w:t>Manufact</w:t>
      </w:r>
      <w:r w:rsidR="00BB6B0C" w:rsidRPr="00BB6B0C">
        <w:rPr>
          <w:rFonts w:ascii="Arial" w:hAnsi="Arial" w:cs="Arial"/>
          <w:b/>
          <w:sz w:val="20"/>
          <w:szCs w:val="20"/>
        </w:rPr>
        <w:t>urer’s Perspective on Sustainability</w:t>
      </w:r>
      <w:r w:rsidR="00456425" w:rsidRPr="00456425">
        <w:rPr>
          <w:rFonts w:ascii="Arial" w:hAnsi="Arial" w:cs="Arial"/>
          <w:sz w:val="20"/>
          <w:szCs w:val="20"/>
        </w:rPr>
        <w:br/>
      </w:r>
      <w:r w:rsidR="00DE2D70" w:rsidRPr="00456425">
        <w:rPr>
          <w:rFonts w:ascii="Arial" w:hAnsi="Arial" w:cs="Arial"/>
          <w:sz w:val="20"/>
          <w:szCs w:val="20"/>
        </w:rPr>
        <w:t>Amanda Provenzano, Sustainability and Interior Door Certification Manager</w:t>
      </w:r>
      <w:r w:rsidR="00DE2D70" w:rsidRPr="00456425">
        <w:rPr>
          <w:rFonts w:ascii="Arial" w:hAnsi="Arial" w:cs="Arial"/>
          <w:color w:val="000000"/>
          <w:sz w:val="20"/>
          <w:szCs w:val="20"/>
        </w:rPr>
        <w:t xml:space="preserve"> at </w:t>
      </w:r>
      <w:hyperlink r:id="rId13" w:history="1">
        <w:r w:rsidR="00DE2D70" w:rsidRPr="00456425">
          <w:rPr>
            <w:rStyle w:val="Hyperlink"/>
            <w:rFonts w:ascii="Arial" w:hAnsi="Arial" w:cs="Arial"/>
            <w:sz w:val="20"/>
            <w:szCs w:val="20"/>
          </w:rPr>
          <w:t>JELD-WEN</w:t>
        </w:r>
      </w:hyperlink>
      <w:r w:rsidR="00DE2D70" w:rsidRPr="00456425">
        <w:rPr>
          <w:rFonts w:ascii="Arial" w:hAnsi="Arial" w:cs="Arial"/>
          <w:color w:val="000000"/>
          <w:sz w:val="20"/>
          <w:szCs w:val="20"/>
        </w:rPr>
        <w:t xml:space="preserve">, rounded out the </w:t>
      </w:r>
      <w:r w:rsidR="00DD7D25">
        <w:rPr>
          <w:rFonts w:ascii="Arial" w:hAnsi="Arial" w:cs="Arial"/>
          <w:color w:val="000000"/>
          <w:sz w:val="20"/>
          <w:szCs w:val="20"/>
        </w:rPr>
        <w:t xml:space="preserve">list of green building and </w:t>
      </w:r>
      <w:r w:rsidR="00DE2D70" w:rsidRPr="00456425">
        <w:rPr>
          <w:rFonts w:ascii="Arial" w:hAnsi="Arial" w:cs="Arial"/>
          <w:color w:val="000000"/>
          <w:sz w:val="20"/>
          <w:szCs w:val="20"/>
        </w:rPr>
        <w:t>sustainability speakers with some advice.</w:t>
      </w:r>
      <w:r w:rsidR="00456425" w:rsidRPr="00456425">
        <w:rPr>
          <w:rFonts w:ascii="Arial" w:hAnsi="Arial" w:cs="Arial"/>
          <w:color w:val="000000"/>
          <w:sz w:val="20"/>
          <w:szCs w:val="20"/>
        </w:rPr>
        <w:br/>
      </w:r>
      <w:r w:rsidR="00456425" w:rsidRPr="00456425">
        <w:rPr>
          <w:rFonts w:ascii="Arial" w:hAnsi="Arial" w:cs="Arial"/>
          <w:sz w:val="20"/>
          <w:szCs w:val="20"/>
        </w:rPr>
        <w:br/>
      </w:r>
      <w:r w:rsidR="00DE2D70" w:rsidRPr="00456425">
        <w:rPr>
          <w:rFonts w:ascii="Arial" w:hAnsi="Arial" w:cs="Arial"/>
          <w:sz w:val="20"/>
          <w:szCs w:val="20"/>
        </w:rPr>
        <w:t>“Sustainability is a responsibility that also meets the needs of our customers,” said Provenzano.</w:t>
      </w:r>
      <w:r w:rsidR="00456425" w:rsidRPr="00456425">
        <w:rPr>
          <w:rFonts w:ascii="Arial" w:hAnsi="Arial" w:cs="Arial"/>
          <w:sz w:val="20"/>
          <w:szCs w:val="20"/>
        </w:rPr>
        <w:br/>
      </w:r>
      <w:r w:rsidR="00456425" w:rsidRPr="00456425">
        <w:rPr>
          <w:rFonts w:ascii="Arial" w:hAnsi="Arial" w:cs="Arial"/>
          <w:sz w:val="20"/>
          <w:szCs w:val="20"/>
        </w:rPr>
        <w:br/>
      </w:r>
      <w:r w:rsidR="00DD7D25">
        <w:rPr>
          <w:rFonts w:ascii="Arial" w:hAnsi="Arial" w:cs="Arial"/>
          <w:sz w:val="20"/>
          <w:szCs w:val="20"/>
        </w:rPr>
        <w:t>S</w:t>
      </w:r>
      <w:r w:rsidR="00DE2D70" w:rsidRPr="00456425">
        <w:rPr>
          <w:rFonts w:ascii="Arial" w:hAnsi="Arial" w:cs="Arial"/>
          <w:sz w:val="20"/>
          <w:szCs w:val="20"/>
        </w:rPr>
        <w:t xml:space="preserve">ustainable design </w:t>
      </w:r>
      <w:r w:rsidR="00DD7D25">
        <w:rPr>
          <w:rFonts w:ascii="Arial" w:hAnsi="Arial" w:cs="Arial"/>
          <w:sz w:val="20"/>
          <w:szCs w:val="20"/>
        </w:rPr>
        <w:t xml:space="preserve">is </w:t>
      </w:r>
      <w:r w:rsidR="00DE2D70" w:rsidRPr="00456425">
        <w:rPr>
          <w:rFonts w:ascii="Arial" w:hAnsi="Arial" w:cs="Arial"/>
          <w:sz w:val="20"/>
          <w:szCs w:val="20"/>
        </w:rPr>
        <w:t>important</w:t>
      </w:r>
      <w:r w:rsidR="00DD7D25">
        <w:rPr>
          <w:rFonts w:ascii="Arial" w:hAnsi="Arial" w:cs="Arial"/>
          <w:sz w:val="20"/>
          <w:szCs w:val="20"/>
        </w:rPr>
        <w:t xml:space="preserve"> because</w:t>
      </w:r>
      <w:r w:rsidR="00DE2D70" w:rsidRPr="00456425">
        <w:rPr>
          <w:rFonts w:ascii="Arial" w:hAnsi="Arial" w:cs="Arial"/>
          <w:sz w:val="20"/>
          <w:szCs w:val="20"/>
        </w:rPr>
        <w:t xml:space="preserve"> </w:t>
      </w:r>
      <w:r w:rsidR="00DD7D25">
        <w:rPr>
          <w:rFonts w:ascii="Arial" w:hAnsi="Arial" w:cs="Arial"/>
          <w:sz w:val="20"/>
          <w:szCs w:val="20"/>
        </w:rPr>
        <w:t>i</w:t>
      </w:r>
      <w:r w:rsidR="00DE2D70" w:rsidRPr="00456425">
        <w:rPr>
          <w:rFonts w:ascii="Arial" w:hAnsi="Arial" w:cs="Arial"/>
          <w:sz w:val="20"/>
          <w:szCs w:val="20"/>
        </w:rPr>
        <w:t>t reduces waste stream and cuts costs, and it creates Millennial brand loyalty. There’s also market demand for it</w:t>
      </w:r>
      <w:r w:rsidR="00DD7D25">
        <w:rPr>
          <w:rFonts w:ascii="Arial" w:hAnsi="Arial" w:cs="Arial"/>
          <w:sz w:val="20"/>
          <w:szCs w:val="20"/>
        </w:rPr>
        <w:t xml:space="preserve"> –</w:t>
      </w:r>
      <w:r w:rsidR="00DE2D70" w:rsidRPr="00456425">
        <w:rPr>
          <w:rFonts w:ascii="Arial" w:hAnsi="Arial" w:cs="Arial"/>
          <w:sz w:val="20"/>
          <w:szCs w:val="20"/>
        </w:rPr>
        <w:t xml:space="preserve"> 81</w:t>
      </w:r>
      <w:r w:rsidR="00DD7D25">
        <w:rPr>
          <w:rFonts w:ascii="Arial" w:hAnsi="Arial" w:cs="Arial"/>
          <w:sz w:val="20"/>
          <w:szCs w:val="20"/>
        </w:rPr>
        <w:t xml:space="preserve"> </w:t>
      </w:r>
      <w:r w:rsidR="00DE2D70" w:rsidRPr="00456425">
        <w:rPr>
          <w:rFonts w:ascii="Arial" w:hAnsi="Arial" w:cs="Arial"/>
          <w:sz w:val="20"/>
          <w:szCs w:val="20"/>
        </w:rPr>
        <w:t>percent of consumers say they will make personal sacrifices t</w:t>
      </w:r>
      <w:r w:rsidR="00456425" w:rsidRPr="00456425">
        <w:rPr>
          <w:rFonts w:ascii="Arial" w:hAnsi="Arial" w:cs="Arial"/>
          <w:sz w:val="20"/>
          <w:szCs w:val="20"/>
        </w:rPr>
        <w:t>o address social</w:t>
      </w:r>
      <w:r w:rsidR="00DD7D25">
        <w:rPr>
          <w:rFonts w:ascii="Arial" w:hAnsi="Arial" w:cs="Arial"/>
          <w:sz w:val="20"/>
          <w:szCs w:val="20"/>
        </w:rPr>
        <w:t xml:space="preserve"> and environmental</w:t>
      </w:r>
      <w:r w:rsidR="00456425" w:rsidRPr="00456425">
        <w:rPr>
          <w:rFonts w:ascii="Arial" w:hAnsi="Arial" w:cs="Arial"/>
          <w:sz w:val="20"/>
          <w:szCs w:val="20"/>
        </w:rPr>
        <w:t xml:space="preserve"> issues.</w:t>
      </w:r>
      <w:r w:rsidR="00456425" w:rsidRPr="00456425">
        <w:rPr>
          <w:rFonts w:ascii="Arial" w:hAnsi="Arial" w:cs="Arial"/>
          <w:sz w:val="20"/>
          <w:szCs w:val="20"/>
        </w:rPr>
        <w:br/>
      </w:r>
      <w:r w:rsidR="00456425" w:rsidRPr="00456425">
        <w:rPr>
          <w:rFonts w:ascii="Arial" w:hAnsi="Arial" w:cs="Arial"/>
          <w:sz w:val="20"/>
          <w:szCs w:val="20"/>
        </w:rPr>
        <w:br/>
      </w:r>
      <w:r w:rsidR="00DE2D70" w:rsidRPr="00456425">
        <w:rPr>
          <w:rFonts w:ascii="Arial" w:hAnsi="Arial" w:cs="Arial"/>
          <w:sz w:val="20"/>
          <w:szCs w:val="20"/>
        </w:rPr>
        <w:t>“Millennials are willing to talk to friends and on social media about whether or not brands are sustainable,” said Provenzano. “They’re also willing to boycott ones that aren't.”</w:t>
      </w:r>
      <w:r w:rsidR="00456425" w:rsidRPr="00456425">
        <w:rPr>
          <w:rFonts w:ascii="Arial" w:hAnsi="Arial" w:cs="Arial"/>
          <w:sz w:val="20"/>
          <w:szCs w:val="20"/>
        </w:rPr>
        <w:br/>
      </w:r>
      <w:r w:rsidR="00456425" w:rsidRPr="00456425">
        <w:rPr>
          <w:rFonts w:ascii="Arial" w:hAnsi="Arial" w:cs="Arial"/>
          <w:sz w:val="20"/>
          <w:szCs w:val="20"/>
        </w:rPr>
        <w:br/>
      </w:r>
      <w:r w:rsidR="00DE2D70" w:rsidRPr="00456425">
        <w:rPr>
          <w:rFonts w:ascii="Arial" w:hAnsi="Arial" w:cs="Arial"/>
          <w:sz w:val="20"/>
          <w:szCs w:val="20"/>
        </w:rPr>
        <w:t>In terms of the workforce, Millennials also care about working for companies with a strong environmental commitment and company culture. Some responsible leaders include Amazon, Interface, Lowe's and Nike, said Provenzano</w:t>
      </w:r>
      <w:r w:rsidR="00456425" w:rsidRPr="00456425">
        <w:rPr>
          <w:rFonts w:ascii="Arial" w:hAnsi="Arial" w:cs="Arial"/>
          <w:sz w:val="20"/>
          <w:szCs w:val="20"/>
        </w:rPr>
        <w:t>.</w:t>
      </w:r>
      <w:r w:rsidR="00456425" w:rsidRPr="00456425">
        <w:rPr>
          <w:rFonts w:ascii="Arial" w:hAnsi="Arial" w:cs="Arial"/>
          <w:sz w:val="20"/>
          <w:szCs w:val="20"/>
        </w:rPr>
        <w:br/>
      </w:r>
      <w:r w:rsidR="00456425" w:rsidRPr="00456425">
        <w:rPr>
          <w:rFonts w:ascii="Arial" w:hAnsi="Arial" w:cs="Arial"/>
          <w:sz w:val="20"/>
          <w:szCs w:val="20"/>
        </w:rPr>
        <w:br/>
      </w:r>
      <w:r w:rsidR="00DD7D25">
        <w:rPr>
          <w:rFonts w:ascii="Arial" w:hAnsi="Arial" w:cs="Arial"/>
          <w:sz w:val="20"/>
          <w:szCs w:val="20"/>
        </w:rPr>
        <w:t>T</w:t>
      </w:r>
      <w:r w:rsidR="00DE2D70" w:rsidRPr="00456425">
        <w:rPr>
          <w:rFonts w:ascii="Arial" w:hAnsi="Arial" w:cs="Arial"/>
          <w:sz w:val="20"/>
          <w:szCs w:val="20"/>
        </w:rPr>
        <w:t>he manufacturer's role in sustainability</w:t>
      </w:r>
      <w:r w:rsidR="00DD7D25">
        <w:rPr>
          <w:rFonts w:ascii="Arial" w:hAnsi="Arial" w:cs="Arial"/>
          <w:sz w:val="20"/>
          <w:szCs w:val="20"/>
        </w:rPr>
        <w:t xml:space="preserve"> is to a</w:t>
      </w:r>
      <w:r w:rsidR="00DE2D70" w:rsidRPr="00456425">
        <w:rPr>
          <w:rFonts w:ascii="Arial" w:hAnsi="Arial" w:cs="Arial"/>
          <w:sz w:val="20"/>
          <w:szCs w:val="20"/>
        </w:rPr>
        <w:t>ddress custome</w:t>
      </w:r>
      <w:r w:rsidR="00DD7D25">
        <w:rPr>
          <w:rFonts w:ascii="Arial" w:hAnsi="Arial" w:cs="Arial"/>
          <w:sz w:val="20"/>
          <w:szCs w:val="20"/>
        </w:rPr>
        <w:t>rs’ concerns via certifications</w:t>
      </w:r>
      <w:r w:rsidR="00DE2D70" w:rsidRPr="00456425">
        <w:rPr>
          <w:rFonts w:ascii="Arial" w:hAnsi="Arial" w:cs="Arial"/>
          <w:sz w:val="20"/>
          <w:szCs w:val="20"/>
        </w:rPr>
        <w:t xml:space="preserve"> and </w:t>
      </w:r>
      <w:r w:rsidR="00DD7D25">
        <w:rPr>
          <w:rFonts w:ascii="Arial" w:hAnsi="Arial" w:cs="Arial"/>
          <w:sz w:val="20"/>
          <w:szCs w:val="20"/>
        </w:rPr>
        <w:t xml:space="preserve">to </w:t>
      </w:r>
      <w:r w:rsidR="00DE2D70" w:rsidRPr="00456425">
        <w:rPr>
          <w:rFonts w:ascii="Arial" w:hAnsi="Arial" w:cs="Arial"/>
          <w:sz w:val="20"/>
          <w:szCs w:val="20"/>
        </w:rPr>
        <w:t>listen to those customers.</w:t>
      </w:r>
      <w:r w:rsidR="00DD7D25">
        <w:rPr>
          <w:rFonts w:ascii="Arial" w:hAnsi="Arial" w:cs="Arial"/>
          <w:sz w:val="20"/>
          <w:szCs w:val="20"/>
        </w:rPr>
        <w:t xml:space="preserve"> </w:t>
      </w:r>
      <w:r w:rsidR="00DE2D70" w:rsidRPr="00456425">
        <w:rPr>
          <w:rFonts w:ascii="Arial" w:hAnsi="Arial" w:cs="Arial"/>
          <w:sz w:val="20"/>
          <w:szCs w:val="20"/>
        </w:rPr>
        <w:t xml:space="preserve">Sustainability is attainable, said Provenzano. </w:t>
      </w:r>
      <w:r w:rsidR="00DD7D25">
        <w:rPr>
          <w:rFonts w:ascii="Arial" w:hAnsi="Arial" w:cs="Arial"/>
          <w:sz w:val="20"/>
          <w:szCs w:val="20"/>
        </w:rPr>
        <w:t>“</w:t>
      </w:r>
      <w:r w:rsidR="00DE2D70" w:rsidRPr="00456425">
        <w:rPr>
          <w:rFonts w:ascii="Arial" w:hAnsi="Arial" w:cs="Arial"/>
          <w:sz w:val="20"/>
          <w:szCs w:val="20"/>
        </w:rPr>
        <w:t>Companies are already doing some of the process flow. For example, you</w:t>
      </w:r>
      <w:r w:rsidR="00DD7D25">
        <w:rPr>
          <w:rFonts w:ascii="Arial" w:hAnsi="Arial" w:cs="Arial"/>
          <w:sz w:val="20"/>
          <w:szCs w:val="20"/>
        </w:rPr>
        <w:t xml:space="preserve"> already have waste management.”</w:t>
      </w:r>
      <w:r w:rsidR="00456425" w:rsidRPr="00456425">
        <w:rPr>
          <w:rFonts w:ascii="Arial" w:hAnsi="Arial" w:cs="Arial"/>
          <w:sz w:val="20"/>
          <w:szCs w:val="20"/>
        </w:rPr>
        <w:br/>
      </w:r>
      <w:r w:rsidR="00456425" w:rsidRPr="00456425">
        <w:rPr>
          <w:rFonts w:ascii="Arial" w:hAnsi="Arial" w:cs="Arial"/>
          <w:sz w:val="20"/>
          <w:szCs w:val="20"/>
        </w:rPr>
        <w:lastRenderedPageBreak/>
        <w:br/>
      </w:r>
      <w:r w:rsidR="00DE2D70" w:rsidRPr="00456425">
        <w:rPr>
          <w:rFonts w:ascii="Arial" w:hAnsi="Arial" w:cs="Arial"/>
          <w:sz w:val="20"/>
          <w:szCs w:val="20"/>
        </w:rPr>
        <w:t>“Studies show that profit increases when companies prioritize sustainability,” concluded Provenzano. “Realize your financial growth.”</w:t>
      </w:r>
      <w:r w:rsidR="00456425" w:rsidRPr="00456425">
        <w:rPr>
          <w:rFonts w:ascii="Arial" w:hAnsi="Arial" w:cs="Arial"/>
          <w:sz w:val="20"/>
          <w:szCs w:val="20"/>
        </w:rPr>
        <w:br/>
      </w:r>
      <w:r w:rsidR="00ED15D3" w:rsidRPr="00456425">
        <w:rPr>
          <w:rFonts w:ascii="Arial" w:hAnsi="Arial" w:cs="Arial"/>
          <w:sz w:val="20"/>
          <w:szCs w:val="20"/>
        </w:rPr>
        <w:br/>
      </w:r>
      <w:r w:rsidR="00C7048F" w:rsidRPr="00456425">
        <w:rPr>
          <w:rFonts w:ascii="Arial" w:hAnsi="Arial" w:cs="Arial"/>
          <w:sz w:val="20"/>
          <w:szCs w:val="20"/>
        </w:rPr>
        <w:t xml:space="preserve">More information about AAMA and </w:t>
      </w:r>
      <w:r w:rsidR="00835492" w:rsidRPr="00456425">
        <w:rPr>
          <w:rFonts w:ascii="Arial" w:hAnsi="Arial" w:cs="Arial"/>
          <w:sz w:val="20"/>
          <w:szCs w:val="20"/>
        </w:rPr>
        <w:t>its activities can be found via</w:t>
      </w:r>
      <w:r w:rsidR="00C7048F" w:rsidRPr="00456425">
        <w:rPr>
          <w:rFonts w:ascii="Arial" w:hAnsi="Arial" w:cs="Arial"/>
          <w:sz w:val="20"/>
          <w:szCs w:val="20"/>
        </w:rPr>
        <w:t xml:space="preserve"> the AAMA website, </w:t>
      </w:r>
      <w:hyperlink r:id="rId14" w:history="1">
        <w:r w:rsidR="00C7048F" w:rsidRPr="00456425">
          <w:rPr>
            <w:rStyle w:val="Hyperlink"/>
            <w:rFonts w:ascii="Arial" w:hAnsi="Arial" w:cs="Arial"/>
            <w:sz w:val="20"/>
            <w:szCs w:val="20"/>
          </w:rPr>
          <w:t>www.aamanet.org</w:t>
        </w:r>
      </w:hyperlink>
      <w:r w:rsidR="00C7048F" w:rsidRPr="00456425">
        <w:rPr>
          <w:rFonts w:ascii="Arial" w:hAnsi="Arial" w:cs="Arial"/>
          <w:sz w:val="20"/>
          <w:szCs w:val="20"/>
        </w:rPr>
        <w:t>.</w:t>
      </w:r>
    </w:p>
    <w:p w14:paraId="7E0F13CD" w14:textId="77777777" w:rsidR="00835492" w:rsidRPr="00456425" w:rsidRDefault="00835492" w:rsidP="00456425">
      <w:pPr>
        <w:spacing w:after="0" w:line="240" w:lineRule="auto"/>
        <w:ind w:right="-272"/>
        <w:jc w:val="center"/>
        <w:rPr>
          <w:rStyle w:val="Emphasis"/>
          <w:rFonts w:cs="Arial"/>
          <w:sz w:val="20"/>
        </w:rPr>
      </w:pPr>
    </w:p>
    <w:p w14:paraId="225FE94E" w14:textId="1D91D117" w:rsidR="002C156D" w:rsidRPr="0052685A" w:rsidRDefault="00305DAD" w:rsidP="0052685A">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and educational programs for the fenestration industry.</w:t>
      </w:r>
      <w:r w:rsidRPr="004A05C5">
        <w:rPr>
          <w:rStyle w:val="Emphasis"/>
          <w:sz w:val="20"/>
          <w:vertAlign w:val="superscript"/>
        </w:rPr>
        <w:t>SM</w:t>
      </w:r>
    </w:p>
    <w:sectPr w:rsidR="002C156D" w:rsidRPr="0052685A" w:rsidSect="00305DAD">
      <w:headerReference w:type="default" r:id="rId15"/>
      <w:footerReference w:type="default" r:id="rId16"/>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C9459" w14:textId="77777777" w:rsidR="00506415" w:rsidRDefault="00506415">
      <w:pPr>
        <w:spacing w:after="0" w:line="240" w:lineRule="auto"/>
      </w:pPr>
      <w:r>
        <w:separator/>
      </w:r>
    </w:p>
  </w:endnote>
  <w:endnote w:type="continuationSeparator" w:id="0">
    <w:p w14:paraId="780CD58F" w14:textId="77777777" w:rsidR="00506415" w:rsidRDefault="0050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4DA7" w14:textId="77777777" w:rsidR="00DF436F" w:rsidRPr="002D2F67" w:rsidRDefault="00DF436F" w:rsidP="00305DAD">
    <w:pPr>
      <w:pStyle w:val="Footer"/>
      <w:jc w:val="center"/>
      <w:rPr>
        <w:b/>
      </w:rPr>
    </w:pPr>
    <w:r w:rsidRPr="002D2F67">
      <w:rPr>
        <w:b/>
      </w:rPr>
      <w:t xml:space="preserve">AAMA </w:t>
    </w:r>
    <w:r w:rsidRPr="002D2F67">
      <w:rPr>
        <w:b/>
      </w:rPr>
      <w:sym w:font="Symbol" w:char="F0B7"/>
    </w:r>
    <w:r w:rsidRPr="002D2F67">
      <w:rPr>
        <w:b/>
      </w:rPr>
      <w:t xml:space="preserve"> 1827 Walden Office Square, Suite 550 </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4F371" w14:textId="77777777" w:rsidR="00506415" w:rsidRDefault="00506415">
      <w:pPr>
        <w:spacing w:after="0" w:line="240" w:lineRule="auto"/>
      </w:pPr>
      <w:r>
        <w:separator/>
      </w:r>
    </w:p>
  </w:footnote>
  <w:footnote w:type="continuationSeparator" w:id="0">
    <w:p w14:paraId="26287DFD" w14:textId="77777777" w:rsidR="00506415" w:rsidRDefault="00506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588BA" w14:textId="77777777" w:rsidR="00DF436F" w:rsidRDefault="00DF436F">
    <w:pPr>
      <w:framePr w:h="1" w:wrap="around" w:vAnchor="page" w:hAnchor="page" w:x="6630" w:y="759"/>
      <w:pBdr>
        <w:top w:val="none" w:sz="1" w:space="0" w:color="000000"/>
        <w:left w:val="none" w:sz="1" w:space="0" w:color="000000"/>
        <w:bottom w:val="none" w:sz="1" w:space="0" w:color="000000"/>
        <w:right w:val="none" w:sz="1" w:space="0" w:color="000000"/>
      </w:pBdr>
    </w:pPr>
  </w:p>
  <w:p w14:paraId="32C00201" w14:textId="087F9927" w:rsidR="00DF436F" w:rsidRDefault="00146A10"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rPr>
        <w:rFonts w:ascii="Helvetica" w:hAnsi="Helvetica"/>
      </w:rPr>
      <w:t xml:space="preserve">          </w:t>
    </w:r>
    <w:r>
      <w:rPr>
        <w:noProof/>
      </w:rPr>
      <w:drawing>
        <wp:inline distT="0" distB="0" distL="0" distR="0" wp14:anchorId="1F72E242" wp14:editId="69CFC1E3">
          <wp:extent cx="1895475" cy="708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extLst>
                      <a:ext uri="{28A0092B-C50C-407E-A947-70E740481C1C}">
                        <a14:useLocalDpi xmlns:a14="http://schemas.microsoft.com/office/drawing/2010/main" val="0"/>
                      </a:ext>
                    </a:extLst>
                  </a:blip>
                  <a:stretch>
                    <a:fillRect/>
                  </a:stretch>
                </pic:blipFill>
                <pic:spPr>
                  <a:xfrm>
                    <a:off x="0" y="0"/>
                    <a:ext cx="1902290" cy="711457"/>
                  </a:xfrm>
                  <a:prstGeom prst="rect">
                    <a:avLst/>
                  </a:prstGeom>
                </pic:spPr>
              </pic:pic>
            </a:graphicData>
          </a:graphic>
        </wp:inline>
      </w:drawing>
    </w:r>
    <w:r w:rsidR="0057201B">
      <w:fldChar w:fldCharType="begin"/>
    </w:r>
    <w:r w:rsidR="00DF436F">
      <w:instrText>comments  \* MERGEFORMAT</w:instrText>
    </w:r>
    <w:r w:rsidR="0057201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DE"/>
    <w:rsid w:val="00002C37"/>
    <w:rsid w:val="000070B8"/>
    <w:rsid w:val="00013A8A"/>
    <w:rsid w:val="00037F97"/>
    <w:rsid w:val="000457C3"/>
    <w:rsid w:val="0004674B"/>
    <w:rsid w:val="00077326"/>
    <w:rsid w:val="00080BBB"/>
    <w:rsid w:val="000839E7"/>
    <w:rsid w:val="0008620F"/>
    <w:rsid w:val="000863E3"/>
    <w:rsid w:val="000910BB"/>
    <w:rsid w:val="000A44CD"/>
    <w:rsid w:val="000A5D59"/>
    <w:rsid w:val="000B222E"/>
    <w:rsid w:val="000D1085"/>
    <w:rsid w:val="000E2B1B"/>
    <w:rsid w:val="001027F1"/>
    <w:rsid w:val="00135975"/>
    <w:rsid w:val="001418B1"/>
    <w:rsid w:val="00146A10"/>
    <w:rsid w:val="001551CB"/>
    <w:rsid w:val="00157286"/>
    <w:rsid w:val="00193DC9"/>
    <w:rsid w:val="001A39FC"/>
    <w:rsid w:val="001F3218"/>
    <w:rsid w:val="002065B0"/>
    <w:rsid w:val="00221DF1"/>
    <w:rsid w:val="00226754"/>
    <w:rsid w:val="002347B7"/>
    <w:rsid w:val="00236D75"/>
    <w:rsid w:val="00263188"/>
    <w:rsid w:val="00280241"/>
    <w:rsid w:val="0028039D"/>
    <w:rsid w:val="00290DAE"/>
    <w:rsid w:val="002A2B5D"/>
    <w:rsid w:val="002A5BF0"/>
    <w:rsid w:val="002B0AE9"/>
    <w:rsid w:val="002B7839"/>
    <w:rsid w:val="002C156D"/>
    <w:rsid w:val="002E5348"/>
    <w:rsid w:val="002F6401"/>
    <w:rsid w:val="0030043C"/>
    <w:rsid w:val="00305DAD"/>
    <w:rsid w:val="00332539"/>
    <w:rsid w:val="003375FE"/>
    <w:rsid w:val="00342D50"/>
    <w:rsid w:val="003443B6"/>
    <w:rsid w:val="00345218"/>
    <w:rsid w:val="00356961"/>
    <w:rsid w:val="0036051A"/>
    <w:rsid w:val="0036575D"/>
    <w:rsid w:val="00367287"/>
    <w:rsid w:val="00367A21"/>
    <w:rsid w:val="00380F96"/>
    <w:rsid w:val="0038451E"/>
    <w:rsid w:val="00387E2F"/>
    <w:rsid w:val="003A2FD3"/>
    <w:rsid w:val="003A4325"/>
    <w:rsid w:val="003B017E"/>
    <w:rsid w:val="003D7D3B"/>
    <w:rsid w:val="003E026C"/>
    <w:rsid w:val="003E19CA"/>
    <w:rsid w:val="003F6EAB"/>
    <w:rsid w:val="00404769"/>
    <w:rsid w:val="00420E43"/>
    <w:rsid w:val="004279EC"/>
    <w:rsid w:val="00427C3D"/>
    <w:rsid w:val="00433A83"/>
    <w:rsid w:val="00447D3D"/>
    <w:rsid w:val="00456425"/>
    <w:rsid w:val="00465888"/>
    <w:rsid w:val="00476846"/>
    <w:rsid w:val="00486661"/>
    <w:rsid w:val="004907CC"/>
    <w:rsid w:val="004A05C5"/>
    <w:rsid w:val="004B6EC3"/>
    <w:rsid w:val="004C31E0"/>
    <w:rsid w:val="004C65DB"/>
    <w:rsid w:val="004E37DE"/>
    <w:rsid w:val="004E46FE"/>
    <w:rsid w:val="004E5DB8"/>
    <w:rsid w:val="004F7B4B"/>
    <w:rsid w:val="00502073"/>
    <w:rsid w:val="00506415"/>
    <w:rsid w:val="00506F0B"/>
    <w:rsid w:val="00512A74"/>
    <w:rsid w:val="005257C4"/>
    <w:rsid w:val="0052685A"/>
    <w:rsid w:val="00532659"/>
    <w:rsid w:val="005345CE"/>
    <w:rsid w:val="0054638A"/>
    <w:rsid w:val="00570D21"/>
    <w:rsid w:val="0057201B"/>
    <w:rsid w:val="00575ECC"/>
    <w:rsid w:val="00576237"/>
    <w:rsid w:val="00595CCB"/>
    <w:rsid w:val="00596EF5"/>
    <w:rsid w:val="005B684C"/>
    <w:rsid w:val="005C5FD0"/>
    <w:rsid w:val="005D6362"/>
    <w:rsid w:val="005D762F"/>
    <w:rsid w:val="005E2909"/>
    <w:rsid w:val="005E562A"/>
    <w:rsid w:val="005E7A8B"/>
    <w:rsid w:val="00604C84"/>
    <w:rsid w:val="00606D78"/>
    <w:rsid w:val="0062398A"/>
    <w:rsid w:val="00624AC4"/>
    <w:rsid w:val="00633C63"/>
    <w:rsid w:val="00655CA4"/>
    <w:rsid w:val="00664BE4"/>
    <w:rsid w:val="0067712B"/>
    <w:rsid w:val="00682364"/>
    <w:rsid w:val="00686B3A"/>
    <w:rsid w:val="0069166D"/>
    <w:rsid w:val="006973F6"/>
    <w:rsid w:val="00697799"/>
    <w:rsid w:val="006A5BEE"/>
    <w:rsid w:val="006B261F"/>
    <w:rsid w:val="006C5F6E"/>
    <w:rsid w:val="006C7A6C"/>
    <w:rsid w:val="006D7D86"/>
    <w:rsid w:val="006E3044"/>
    <w:rsid w:val="006E618F"/>
    <w:rsid w:val="006F7457"/>
    <w:rsid w:val="00700754"/>
    <w:rsid w:val="00703164"/>
    <w:rsid w:val="00704E8B"/>
    <w:rsid w:val="007129DE"/>
    <w:rsid w:val="007142AD"/>
    <w:rsid w:val="00716346"/>
    <w:rsid w:val="007324C3"/>
    <w:rsid w:val="0073489E"/>
    <w:rsid w:val="00736EE8"/>
    <w:rsid w:val="00743B9B"/>
    <w:rsid w:val="007544CF"/>
    <w:rsid w:val="00756007"/>
    <w:rsid w:val="0075749E"/>
    <w:rsid w:val="00772CD5"/>
    <w:rsid w:val="007750EA"/>
    <w:rsid w:val="0077731F"/>
    <w:rsid w:val="00784394"/>
    <w:rsid w:val="00791AFA"/>
    <w:rsid w:val="007A25D0"/>
    <w:rsid w:val="007A5E7D"/>
    <w:rsid w:val="007D20E2"/>
    <w:rsid w:val="007E3DFE"/>
    <w:rsid w:val="007F0777"/>
    <w:rsid w:val="00806290"/>
    <w:rsid w:val="0080753C"/>
    <w:rsid w:val="00813F90"/>
    <w:rsid w:val="00835492"/>
    <w:rsid w:val="0084147D"/>
    <w:rsid w:val="008414E6"/>
    <w:rsid w:val="00841502"/>
    <w:rsid w:val="008547B7"/>
    <w:rsid w:val="008610E9"/>
    <w:rsid w:val="00862CBF"/>
    <w:rsid w:val="0086670D"/>
    <w:rsid w:val="008868C4"/>
    <w:rsid w:val="0089483A"/>
    <w:rsid w:val="008A2688"/>
    <w:rsid w:val="008B286E"/>
    <w:rsid w:val="008B5249"/>
    <w:rsid w:val="008D2053"/>
    <w:rsid w:val="008D67D5"/>
    <w:rsid w:val="008D6F93"/>
    <w:rsid w:val="008E5B4D"/>
    <w:rsid w:val="008E6309"/>
    <w:rsid w:val="008F1618"/>
    <w:rsid w:val="008F3F08"/>
    <w:rsid w:val="008F7869"/>
    <w:rsid w:val="009200B2"/>
    <w:rsid w:val="009220A5"/>
    <w:rsid w:val="00927618"/>
    <w:rsid w:val="009325E9"/>
    <w:rsid w:val="00943896"/>
    <w:rsid w:val="00944FA5"/>
    <w:rsid w:val="00962E75"/>
    <w:rsid w:val="00962E87"/>
    <w:rsid w:val="00967D62"/>
    <w:rsid w:val="0097022F"/>
    <w:rsid w:val="00974E9A"/>
    <w:rsid w:val="00986D53"/>
    <w:rsid w:val="009A23BB"/>
    <w:rsid w:val="009B3BB5"/>
    <w:rsid w:val="009B572A"/>
    <w:rsid w:val="009C1FCE"/>
    <w:rsid w:val="009C478A"/>
    <w:rsid w:val="009D4E05"/>
    <w:rsid w:val="009D626F"/>
    <w:rsid w:val="009F4F88"/>
    <w:rsid w:val="009F6D20"/>
    <w:rsid w:val="00A03A37"/>
    <w:rsid w:val="00A3027E"/>
    <w:rsid w:val="00A41F02"/>
    <w:rsid w:val="00A54D41"/>
    <w:rsid w:val="00A65771"/>
    <w:rsid w:val="00A7487C"/>
    <w:rsid w:val="00A7509E"/>
    <w:rsid w:val="00A75D7F"/>
    <w:rsid w:val="00A802C0"/>
    <w:rsid w:val="00A84FE7"/>
    <w:rsid w:val="00A934DE"/>
    <w:rsid w:val="00AC08FA"/>
    <w:rsid w:val="00AC5F33"/>
    <w:rsid w:val="00AE1E8F"/>
    <w:rsid w:val="00B03BCD"/>
    <w:rsid w:val="00B362B4"/>
    <w:rsid w:val="00B37FE2"/>
    <w:rsid w:val="00B719AF"/>
    <w:rsid w:val="00B80930"/>
    <w:rsid w:val="00B8423E"/>
    <w:rsid w:val="00B85483"/>
    <w:rsid w:val="00B93302"/>
    <w:rsid w:val="00B95673"/>
    <w:rsid w:val="00BA5D0F"/>
    <w:rsid w:val="00BA7231"/>
    <w:rsid w:val="00BB217A"/>
    <w:rsid w:val="00BB6B0C"/>
    <w:rsid w:val="00BC290C"/>
    <w:rsid w:val="00BC73D8"/>
    <w:rsid w:val="00BD4ECD"/>
    <w:rsid w:val="00BD6496"/>
    <w:rsid w:val="00BD77BF"/>
    <w:rsid w:val="00BE46C0"/>
    <w:rsid w:val="00BE723E"/>
    <w:rsid w:val="00BE725D"/>
    <w:rsid w:val="00BF529A"/>
    <w:rsid w:val="00C150E4"/>
    <w:rsid w:val="00C24AE7"/>
    <w:rsid w:val="00C31E98"/>
    <w:rsid w:val="00C47B85"/>
    <w:rsid w:val="00C57B6E"/>
    <w:rsid w:val="00C657FF"/>
    <w:rsid w:val="00C7048F"/>
    <w:rsid w:val="00C70FCF"/>
    <w:rsid w:val="00C82D43"/>
    <w:rsid w:val="00C84837"/>
    <w:rsid w:val="00C90AF1"/>
    <w:rsid w:val="00CB7C37"/>
    <w:rsid w:val="00CE700F"/>
    <w:rsid w:val="00CF5B1C"/>
    <w:rsid w:val="00CF79B3"/>
    <w:rsid w:val="00D0684C"/>
    <w:rsid w:val="00D214C1"/>
    <w:rsid w:val="00D4456F"/>
    <w:rsid w:val="00D45543"/>
    <w:rsid w:val="00D546F2"/>
    <w:rsid w:val="00D66EED"/>
    <w:rsid w:val="00D72A53"/>
    <w:rsid w:val="00D77FD6"/>
    <w:rsid w:val="00D87ADD"/>
    <w:rsid w:val="00DA55B0"/>
    <w:rsid w:val="00DA6038"/>
    <w:rsid w:val="00DD7D25"/>
    <w:rsid w:val="00DE189D"/>
    <w:rsid w:val="00DE2D70"/>
    <w:rsid w:val="00DE2E2A"/>
    <w:rsid w:val="00DF436F"/>
    <w:rsid w:val="00DF56CE"/>
    <w:rsid w:val="00E01B1A"/>
    <w:rsid w:val="00E11C82"/>
    <w:rsid w:val="00E17DAF"/>
    <w:rsid w:val="00E327C9"/>
    <w:rsid w:val="00E422B2"/>
    <w:rsid w:val="00E5286E"/>
    <w:rsid w:val="00E52A30"/>
    <w:rsid w:val="00E649AC"/>
    <w:rsid w:val="00E665E1"/>
    <w:rsid w:val="00E853BB"/>
    <w:rsid w:val="00EA3709"/>
    <w:rsid w:val="00ED15D3"/>
    <w:rsid w:val="00ED2650"/>
    <w:rsid w:val="00EE04B8"/>
    <w:rsid w:val="00EE4571"/>
    <w:rsid w:val="00F426C5"/>
    <w:rsid w:val="00F446A0"/>
    <w:rsid w:val="00F4584E"/>
    <w:rsid w:val="00F50519"/>
    <w:rsid w:val="00F56BBC"/>
    <w:rsid w:val="00F57F77"/>
    <w:rsid w:val="00F74687"/>
    <w:rsid w:val="00F960FE"/>
    <w:rsid w:val="00FA1610"/>
    <w:rsid w:val="00FB44C7"/>
    <w:rsid w:val="00FF0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3C28502"/>
  <w15:docId w15:val="{3907CF3E-4F85-40DD-883D-2CE6615A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ED1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387536725">
      <w:bodyDiv w:val="1"/>
      <w:marLeft w:val="0"/>
      <w:marRight w:val="0"/>
      <w:marTop w:val="0"/>
      <w:marBottom w:val="0"/>
      <w:divBdr>
        <w:top w:val="none" w:sz="0" w:space="0" w:color="auto"/>
        <w:left w:val="none" w:sz="0" w:space="0" w:color="auto"/>
        <w:bottom w:val="none" w:sz="0" w:space="0" w:color="auto"/>
        <w:right w:val="none" w:sz="0" w:space="0" w:color="auto"/>
      </w:divBdr>
    </w:div>
    <w:div w:id="410084018">
      <w:bodyDiv w:val="1"/>
      <w:marLeft w:val="0"/>
      <w:marRight w:val="0"/>
      <w:marTop w:val="0"/>
      <w:marBottom w:val="0"/>
      <w:divBdr>
        <w:top w:val="none" w:sz="0" w:space="0" w:color="auto"/>
        <w:left w:val="none" w:sz="0" w:space="0" w:color="auto"/>
        <w:bottom w:val="none" w:sz="0" w:space="0" w:color="auto"/>
        <w:right w:val="none" w:sz="0" w:space="0" w:color="auto"/>
      </w:divBdr>
      <w:divsChild>
        <w:div w:id="364866014">
          <w:marLeft w:val="0"/>
          <w:marRight w:val="0"/>
          <w:marTop w:val="0"/>
          <w:marBottom w:val="0"/>
          <w:divBdr>
            <w:top w:val="none" w:sz="0" w:space="0" w:color="auto"/>
            <w:left w:val="none" w:sz="0" w:space="0" w:color="auto"/>
            <w:bottom w:val="none" w:sz="0" w:space="0" w:color="auto"/>
            <w:right w:val="none" w:sz="0" w:space="0" w:color="auto"/>
          </w:divBdr>
        </w:div>
        <w:div w:id="2142383686">
          <w:marLeft w:val="0"/>
          <w:marRight w:val="0"/>
          <w:marTop w:val="0"/>
          <w:marBottom w:val="0"/>
          <w:divBdr>
            <w:top w:val="none" w:sz="0" w:space="0" w:color="auto"/>
            <w:left w:val="none" w:sz="0" w:space="0" w:color="auto"/>
            <w:bottom w:val="none" w:sz="0" w:space="0" w:color="auto"/>
            <w:right w:val="none" w:sz="0" w:space="0" w:color="auto"/>
          </w:divBdr>
        </w:div>
        <w:div w:id="609093776">
          <w:marLeft w:val="0"/>
          <w:marRight w:val="0"/>
          <w:marTop w:val="0"/>
          <w:marBottom w:val="0"/>
          <w:divBdr>
            <w:top w:val="none" w:sz="0" w:space="0" w:color="auto"/>
            <w:left w:val="none" w:sz="0" w:space="0" w:color="auto"/>
            <w:bottom w:val="none" w:sz="0" w:space="0" w:color="auto"/>
            <w:right w:val="none" w:sz="0" w:space="0" w:color="auto"/>
          </w:divBdr>
          <w:divsChild>
            <w:div w:id="1283418597">
              <w:marLeft w:val="0"/>
              <w:marRight w:val="0"/>
              <w:marTop w:val="0"/>
              <w:marBottom w:val="0"/>
              <w:divBdr>
                <w:top w:val="none" w:sz="0" w:space="0" w:color="auto"/>
                <w:left w:val="none" w:sz="0" w:space="0" w:color="auto"/>
                <w:bottom w:val="none" w:sz="0" w:space="0" w:color="auto"/>
                <w:right w:val="none" w:sz="0" w:space="0" w:color="auto"/>
              </w:divBdr>
            </w:div>
          </w:divsChild>
        </w:div>
        <w:div w:id="1371110079">
          <w:marLeft w:val="0"/>
          <w:marRight w:val="0"/>
          <w:marTop w:val="0"/>
          <w:marBottom w:val="0"/>
          <w:divBdr>
            <w:top w:val="none" w:sz="0" w:space="0" w:color="auto"/>
            <w:left w:val="none" w:sz="0" w:space="0" w:color="auto"/>
            <w:bottom w:val="none" w:sz="0" w:space="0" w:color="auto"/>
            <w:right w:val="none" w:sz="0" w:space="0" w:color="auto"/>
          </w:divBdr>
          <w:divsChild>
            <w:div w:id="369232585">
              <w:marLeft w:val="0"/>
              <w:marRight w:val="0"/>
              <w:marTop w:val="0"/>
              <w:marBottom w:val="0"/>
              <w:divBdr>
                <w:top w:val="none" w:sz="0" w:space="0" w:color="auto"/>
                <w:left w:val="none" w:sz="0" w:space="0" w:color="auto"/>
                <w:bottom w:val="none" w:sz="0" w:space="0" w:color="auto"/>
                <w:right w:val="none" w:sz="0" w:space="0" w:color="auto"/>
              </w:divBdr>
              <w:divsChild>
                <w:div w:id="269050247">
                  <w:marLeft w:val="0"/>
                  <w:marRight w:val="0"/>
                  <w:marTop w:val="0"/>
                  <w:marBottom w:val="0"/>
                  <w:divBdr>
                    <w:top w:val="none" w:sz="0" w:space="0" w:color="auto"/>
                    <w:left w:val="none" w:sz="0" w:space="0" w:color="auto"/>
                    <w:bottom w:val="none" w:sz="0" w:space="0" w:color="auto"/>
                    <w:right w:val="none" w:sz="0" w:space="0" w:color="auto"/>
                  </w:divBdr>
                  <w:divsChild>
                    <w:div w:id="160200633">
                      <w:marLeft w:val="0"/>
                      <w:marRight w:val="0"/>
                      <w:marTop w:val="0"/>
                      <w:marBottom w:val="0"/>
                      <w:divBdr>
                        <w:top w:val="none" w:sz="0" w:space="0" w:color="auto"/>
                        <w:left w:val="none" w:sz="0" w:space="0" w:color="auto"/>
                        <w:bottom w:val="none" w:sz="0" w:space="0" w:color="auto"/>
                        <w:right w:val="none" w:sz="0" w:space="0" w:color="auto"/>
                      </w:divBdr>
                      <w:divsChild>
                        <w:div w:id="1865485637">
                          <w:marLeft w:val="0"/>
                          <w:marRight w:val="0"/>
                          <w:marTop w:val="0"/>
                          <w:marBottom w:val="0"/>
                          <w:divBdr>
                            <w:top w:val="none" w:sz="0" w:space="0" w:color="auto"/>
                            <w:left w:val="none" w:sz="0" w:space="0" w:color="auto"/>
                            <w:bottom w:val="none" w:sz="0" w:space="0" w:color="auto"/>
                            <w:right w:val="none" w:sz="0" w:space="0" w:color="auto"/>
                          </w:divBdr>
                          <w:divsChild>
                            <w:div w:id="1910339298">
                              <w:marLeft w:val="0"/>
                              <w:marRight w:val="0"/>
                              <w:marTop w:val="0"/>
                              <w:marBottom w:val="0"/>
                              <w:divBdr>
                                <w:top w:val="none" w:sz="0" w:space="0" w:color="auto"/>
                                <w:left w:val="none" w:sz="0" w:space="0" w:color="auto"/>
                                <w:bottom w:val="none" w:sz="0" w:space="0" w:color="auto"/>
                                <w:right w:val="none" w:sz="0" w:space="0" w:color="auto"/>
                              </w:divBdr>
                              <w:divsChild>
                                <w:div w:id="586697199">
                                  <w:marLeft w:val="0"/>
                                  <w:marRight w:val="0"/>
                                  <w:marTop w:val="0"/>
                                  <w:marBottom w:val="0"/>
                                  <w:divBdr>
                                    <w:top w:val="none" w:sz="0" w:space="0" w:color="auto"/>
                                    <w:left w:val="none" w:sz="0" w:space="0" w:color="auto"/>
                                    <w:bottom w:val="none" w:sz="0" w:space="0" w:color="auto"/>
                                    <w:right w:val="none" w:sz="0" w:space="0" w:color="auto"/>
                                  </w:divBdr>
                                  <w:divsChild>
                                    <w:div w:id="562370849">
                                      <w:marLeft w:val="0"/>
                                      <w:marRight w:val="0"/>
                                      <w:marTop w:val="0"/>
                                      <w:marBottom w:val="0"/>
                                      <w:divBdr>
                                        <w:top w:val="none" w:sz="0" w:space="0" w:color="auto"/>
                                        <w:left w:val="none" w:sz="0" w:space="0" w:color="auto"/>
                                        <w:bottom w:val="none" w:sz="0" w:space="0" w:color="auto"/>
                                        <w:right w:val="none" w:sz="0" w:space="0" w:color="auto"/>
                                      </w:divBdr>
                                      <w:divsChild>
                                        <w:div w:id="1444499122">
                                          <w:marLeft w:val="0"/>
                                          <w:marRight w:val="0"/>
                                          <w:marTop w:val="0"/>
                                          <w:marBottom w:val="0"/>
                                          <w:divBdr>
                                            <w:top w:val="none" w:sz="0" w:space="0" w:color="auto"/>
                                            <w:left w:val="none" w:sz="0" w:space="0" w:color="auto"/>
                                            <w:bottom w:val="none" w:sz="0" w:space="0" w:color="auto"/>
                                            <w:right w:val="none" w:sz="0" w:space="0" w:color="auto"/>
                                          </w:divBdr>
                                          <w:divsChild>
                                            <w:div w:id="1565405660">
                                              <w:marLeft w:val="0"/>
                                              <w:marRight w:val="0"/>
                                              <w:marTop w:val="0"/>
                                              <w:marBottom w:val="0"/>
                                              <w:divBdr>
                                                <w:top w:val="none" w:sz="0" w:space="0" w:color="auto"/>
                                                <w:left w:val="none" w:sz="0" w:space="0" w:color="auto"/>
                                                <w:bottom w:val="none" w:sz="0" w:space="0" w:color="auto"/>
                                                <w:right w:val="none" w:sz="0" w:space="0" w:color="auto"/>
                                              </w:divBdr>
                                              <w:divsChild>
                                                <w:div w:id="1806922295">
                                                  <w:marLeft w:val="0"/>
                                                  <w:marRight w:val="0"/>
                                                  <w:marTop w:val="0"/>
                                                  <w:marBottom w:val="0"/>
                                                  <w:divBdr>
                                                    <w:top w:val="none" w:sz="0" w:space="0" w:color="auto"/>
                                                    <w:left w:val="none" w:sz="0" w:space="0" w:color="auto"/>
                                                    <w:bottom w:val="none" w:sz="0" w:space="0" w:color="auto"/>
                                                    <w:right w:val="none" w:sz="0" w:space="0" w:color="auto"/>
                                                  </w:divBdr>
                                                  <w:divsChild>
                                                    <w:div w:id="1307970043">
                                                      <w:marLeft w:val="0"/>
                                                      <w:marRight w:val="0"/>
                                                      <w:marTop w:val="0"/>
                                                      <w:marBottom w:val="0"/>
                                                      <w:divBdr>
                                                        <w:top w:val="none" w:sz="0" w:space="0" w:color="auto"/>
                                                        <w:left w:val="none" w:sz="0" w:space="0" w:color="auto"/>
                                                        <w:bottom w:val="none" w:sz="0" w:space="0" w:color="auto"/>
                                                        <w:right w:val="none" w:sz="0" w:space="0" w:color="auto"/>
                                                      </w:divBdr>
                                                      <w:divsChild>
                                                        <w:div w:id="1339312372">
                                                          <w:marLeft w:val="0"/>
                                                          <w:marRight w:val="0"/>
                                                          <w:marTop w:val="0"/>
                                                          <w:marBottom w:val="0"/>
                                                          <w:divBdr>
                                                            <w:top w:val="none" w:sz="0" w:space="0" w:color="auto"/>
                                                            <w:left w:val="none" w:sz="0" w:space="0" w:color="auto"/>
                                                            <w:bottom w:val="none" w:sz="0" w:space="0" w:color="auto"/>
                                                            <w:right w:val="none" w:sz="0" w:space="0" w:color="auto"/>
                                                          </w:divBdr>
                                                          <w:divsChild>
                                                            <w:div w:id="1687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55765526">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28868914">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www.jeld-wen.com/en-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b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inkstep.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rgarylaw.com/index.php"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hyperlink" Target="file:///\\aamaserver4\public\Marketing\PR\Press%20Releases\2012\2-9-2012-AAMA%20Elects%20Board;%20Appoints%20Heppes\www.aama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A518-96C4-4CFB-856A-5BC6CAEE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7522</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Angela Dickson</cp:lastModifiedBy>
  <cp:revision>8</cp:revision>
  <cp:lastPrinted>2014-02-14T17:35:00Z</cp:lastPrinted>
  <dcterms:created xsi:type="dcterms:W3CDTF">2017-02-17T18:03:00Z</dcterms:created>
  <dcterms:modified xsi:type="dcterms:W3CDTF">2017-02-18T00:46:00Z</dcterms:modified>
</cp:coreProperties>
</file>