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29A4714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8" w:history="1">
        <w:r w:rsidRPr="00A54613">
          <w:rPr>
            <w:rStyle w:val="Hyperlink"/>
            <w:rFonts w:ascii="Arial" w:hAnsi="Arial" w:cs="Arial"/>
            <w:sz w:val="18"/>
            <w:szCs w:val="18"/>
            <w:lang w:val="fr-FR"/>
          </w:rPr>
          <w:t>heather@heatherwestpr.com</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Pr="00A54613">
        <w:rPr>
          <w:rFonts w:ascii="Arial" w:hAnsi="Arial" w:cs="Arial"/>
          <w:sz w:val="18"/>
          <w:szCs w:val="18"/>
          <w:lang w:val="fr-FR"/>
        </w:rPr>
        <w:t>612-724-8760</w:t>
      </w:r>
    </w:p>
    <w:p w14:paraId="0C66AF7D" w14:textId="77777777"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w:t>
      </w:r>
      <w:proofErr w:type="gramStart"/>
      <w:r w:rsidRPr="00D9258D">
        <w:rPr>
          <w:rFonts w:ascii="Arial" w:hAnsi="Arial" w:cs="Arial"/>
          <w:sz w:val="18"/>
          <w:szCs w:val="18"/>
        </w:rPr>
        <w:t>marketing</w:t>
      </w:r>
      <w:proofErr w:type="gramEnd"/>
      <w:r w:rsidRPr="00D9258D">
        <w:rPr>
          <w:rFonts w:ascii="Arial" w:hAnsi="Arial" w:cs="Arial"/>
          <w:sz w:val="18"/>
          <w:szCs w:val="18"/>
        </w:rPr>
        <w:t xml:space="preserve">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A54613"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lang w:val="fr-FR"/>
        </w:rPr>
      </w:pPr>
      <w:proofErr w:type="gramStart"/>
      <w:r w:rsidRPr="00A54613">
        <w:rPr>
          <w:rFonts w:ascii="Arial" w:hAnsi="Arial" w:cs="Arial"/>
          <w:sz w:val="18"/>
          <w:szCs w:val="18"/>
          <w:lang w:val="fr-FR"/>
        </w:rPr>
        <w:t>Email:</w:t>
      </w:r>
      <w:proofErr w:type="gramEnd"/>
      <w:r w:rsidRPr="00A54613">
        <w:rPr>
          <w:rFonts w:ascii="Arial" w:hAnsi="Arial" w:cs="Arial"/>
          <w:sz w:val="18"/>
          <w:szCs w:val="18"/>
          <w:lang w:val="fr-FR"/>
        </w:rPr>
        <w:t xml:space="preserve"> </w:t>
      </w:r>
      <w:hyperlink r:id="rId9" w:history="1">
        <w:r w:rsidR="005C7D7D" w:rsidRPr="00A54613">
          <w:rPr>
            <w:rStyle w:val="Hyperlink"/>
            <w:rFonts w:ascii="Arial" w:hAnsi="Arial" w:cs="Arial"/>
            <w:sz w:val="18"/>
            <w:szCs w:val="18"/>
            <w:lang w:val="fr-FR"/>
          </w:rPr>
          <w:t>adickson@fgiaonline.org</w:t>
        </w:r>
      </w:hyperlink>
      <w:r w:rsidRPr="00A54613">
        <w:rPr>
          <w:rFonts w:ascii="Arial" w:hAnsi="Arial" w:cs="Arial"/>
          <w:sz w:val="18"/>
          <w:szCs w:val="18"/>
          <w:lang w:val="fr-FR"/>
        </w:rPr>
        <w:t xml:space="preserve">; </w:t>
      </w:r>
      <w:r w:rsidR="00F8328B" w:rsidRPr="00A54613">
        <w:rPr>
          <w:rFonts w:ascii="Arial" w:hAnsi="Arial" w:cs="Arial"/>
          <w:sz w:val="18"/>
          <w:szCs w:val="18"/>
          <w:lang w:val="fr-FR"/>
        </w:rPr>
        <w:t xml:space="preserve">Phone: </w:t>
      </w:r>
      <w:r w:rsidR="00CE0952" w:rsidRPr="00A54613">
        <w:rPr>
          <w:rFonts w:ascii="Arial" w:hAnsi="Arial" w:cs="Arial"/>
          <w:sz w:val="18"/>
          <w:szCs w:val="18"/>
          <w:lang w:val="fr-FR"/>
        </w:rPr>
        <w:t>630-920-4999</w:t>
      </w:r>
    </w:p>
    <w:p w14:paraId="677E4327" w14:textId="21B4170C" w:rsidR="00305DAD" w:rsidRPr="00D9258D" w:rsidRDefault="009A1C1B" w:rsidP="00305DAD">
      <w:pPr>
        <w:pStyle w:val="Title"/>
        <w:jc w:val="right"/>
        <w:rPr>
          <w:b w:val="0"/>
          <w:sz w:val="24"/>
          <w:szCs w:val="24"/>
        </w:rPr>
      </w:pPr>
      <w:r>
        <w:rPr>
          <w:b w:val="0"/>
          <w:sz w:val="24"/>
          <w:szCs w:val="24"/>
          <w:highlight w:val="yellow"/>
        </w:rPr>
        <w:t>June</w:t>
      </w:r>
      <w:r w:rsidR="00B82B11">
        <w:rPr>
          <w:b w:val="0"/>
          <w:sz w:val="24"/>
          <w:szCs w:val="24"/>
          <w:highlight w:val="yellow"/>
        </w:rPr>
        <w:t xml:space="preserve"> </w:t>
      </w:r>
      <w:r w:rsidR="00304BE7">
        <w:rPr>
          <w:b w:val="0"/>
          <w:sz w:val="24"/>
          <w:szCs w:val="24"/>
          <w:highlight w:val="yellow"/>
        </w:rPr>
        <w:t>1</w:t>
      </w:r>
      <w:r w:rsidR="008F1618" w:rsidRPr="00F13E41">
        <w:rPr>
          <w:b w:val="0"/>
          <w:sz w:val="24"/>
          <w:szCs w:val="24"/>
          <w:highlight w:val="yellow"/>
        </w:rPr>
        <w:t xml:space="preserve">, </w:t>
      </w:r>
      <w:r w:rsidR="00556E3E">
        <w:rPr>
          <w:b w:val="0"/>
          <w:sz w:val="24"/>
          <w:szCs w:val="24"/>
          <w:highlight w:val="yellow"/>
        </w:rPr>
        <w:t>2020</w:t>
      </w:r>
    </w:p>
    <w:p w14:paraId="71E31F7C" w14:textId="77777777" w:rsidR="00305DAD" w:rsidRPr="00D9258D" w:rsidRDefault="00305DAD" w:rsidP="00305DAD">
      <w:pPr>
        <w:pStyle w:val="Title"/>
        <w:jc w:val="right"/>
        <w:rPr>
          <w:b w:val="0"/>
          <w:sz w:val="18"/>
          <w:szCs w:val="18"/>
        </w:rPr>
      </w:pPr>
    </w:p>
    <w:p w14:paraId="313BBC9A" w14:textId="5D6E65E9" w:rsidR="00305DAD" w:rsidRPr="00D9258D" w:rsidRDefault="004571B7" w:rsidP="0038384C">
      <w:pPr>
        <w:pStyle w:val="Title"/>
        <w:spacing w:after="240"/>
        <w:rPr>
          <w:color w:val="auto"/>
        </w:rPr>
      </w:pPr>
      <w:r>
        <w:rPr>
          <w:color w:val="auto"/>
        </w:rPr>
        <w:t>FGIA Releases 2019/2020 Market Studies, Offers Forecast of Fenestration Industry Trends</w:t>
      </w:r>
    </w:p>
    <w:p w14:paraId="3ECB6748" w14:textId="228CE91D" w:rsidR="004571B7" w:rsidRPr="003D4696" w:rsidRDefault="00A41F02" w:rsidP="004571B7">
      <w:pPr>
        <w:rPr>
          <w:szCs w:val="22"/>
        </w:rPr>
      </w:pPr>
      <w:r w:rsidRPr="00E44624">
        <w:t xml:space="preserve">SCHAUMBURG, IL </w:t>
      </w:r>
      <w:r w:rsidR="00723E5F" w:rsidRPr="00E44624">
        <w:t>–</w:t>
      </w:r>
      <w:r w:rsidR="005C7D7D" w:rsidRPr="00E44624">
        <w:t xml:space="preserve"> </w:t>
      </w:r>
      <w:r w:rsidR="00396FE6" w:rsidRPr="00E44624">
        <w:rPr>
          <w:szCs w:val="22"/>
        </w:rPr>
        <w:t>T</w:t>
      </w:r>
      <w:r w:rsidR="00723E5F" w:rsidRPr="00E44624">
        <w:rPr>
          <w:szCs w:val="22"/>
        </w:rPr>
        <w:t xml:space="preserve">he </w:t>
      </w:r>
      <w:r w:rsidR="00F13E41" w:rsidRPr="00E44624">
        <w:rPr>
          <w:szCs w:val="22"/>
        </w:rPr>
        <w:t xml:space="preserve">Fenestration </w:t>
      </w:r>
      <w:r w:rsidR="00A2254C" w:rsidRPr="00E44624">
        <w:rPr>
          <w:szCs w:val="22"/>
        </w:rPr>
        <w:t>and</w:t>
      </w:r>
      <w:r w:rsidR="00F13E41" w:rsidRPr="00E44624">
        <w:rPr>
          <w:szCs w:val="22"/>
        </w:rPr>
        <w:t xml:space="preserve"> Glazing Industry Alliance (FGIA) </w:t>
      </w:r>
      <w:r w:rsidR="004571B7" w:rsidRPr="00E44624">
        <w:rPr>
          <w:rFonts w:cs="Arial"/>
          <w:color w:val="auto"/>
          <w:szCs w:val="22"/>
        </w:rPr>
        <w:t xml:space="preserve">has released the </w:t>
      </w:r>
      <w:r w:rsidR="004571B7" w:rsidRPr="00E44624">
        <w:rPr>
          <w:rFonts w:cs="Arial"/>
          <w:i/>
          <w:color w:val="auto"/>
          <w:szCs w:val="22"/>
        </w:rPr>
        <w:t>FGIA 2019/2020 Study of the U.S. Market for Windows, Doors and Skylights</w:t>
      </w:r>
      <w:r w:rsidR="004571B7" w:rsidRPr="00E44624">
        <w:rPr>
          <w:rFonts w:cs="Arial"/>
          <w:color w:val="auto"/>
          <w:szCs w:val="22"/>
        </w:rPr>
        <w:t xml:space="preserve">. </w:t>
      </w:r>
      <w:r w:rsidR="004571B7" w:rsidRPr="00E44624">
        <w:rPr>
          <w:rFonts w:eastAsiaTheme="minorHAnsi" w:cs="Arial"/>
          <w:color w:val="auto"/>
          <w:szCs w:val="22"/>
        </w:rPr>
        <w:t xml:space="preserve">This bi-annual report delivers timely information on residential and non-residential market trends and product relationships for </w:t>
      </w:r>
      <w:r w:rsidR="00075936" w:rsidRPr="00E44624">
        <w:rPr>
          <w:rFonts w:eastAsiaTheme="minorHAnsi" w:cs="Arial"/>
          <w:color w:val="auto"/>
          <w:szCs w:val="22"/>
        </w:rPr>
        <w:t>both residential and non-residential fenestration products</w:t>
      </w:r>
      <w:r w:rsidR="004571B7" w:rsidRPr="00E44624">
        <w:rPr>
          <w:rFonts w:eastAsiaTheme="minorHAnsi" w:cs="Arial"/>
          <w:color w:val="auto"/>
          <w:szCs w:val="22"/>
        </w:rPr>
        <w:t xml:space="preserve">. </w:t>
      </w:r>
      <w:r w:rsidR="004571B7" w:rsidRPr="00E44624">
        <w:rPr>
          <w:rFonts w:cs="Arial"/>
          <w:color w:val="auto"/>
          <w:szCs w:val="22"/>
        </w:rPr>
        <w:t xml:space="preserve">Forecasts are based on projections of construction activity as of </w:t>
      </w:r>
      <w:r w:rsidR="00E44624" w:rsidRPr="00E44624">
        <w:rPr>
          <w:rFonts w:cs="Arial"/>
          <w:color w:val="auto"/>
          <w:szCs w:val="22"/>
        </w:rPr>
        <w:t>May</w:t>
      </w:r>
      <w:r w:rsidR="004571B7" w:rsidRPr="00E44624">
        <w:rPr>
          <w:rFonts w:cs="Arial"/>
          <w:color w:val="auto"/>
          <w:szCs w:val="22"/>
        </w:rPr>
        <w:t xml:space="preserve"> 2020.</w:t>
      </w:r>
    </w:p>
    <w:p w14:paraId="1C45FA8B" w14:textId="77777777" w:rsidR="004571B7" w:rsidRPr="003D4696" w:rsidRDefault="004571B7" w:rsidP="004571B7">
      <w:pPr>
        <w:rPr>
          <w:rFonts w:eastAsiaTheme="minorHAnsi" w:cs="Arial"/>
          <w:b/>
          <w:color w:val="32302D"/>
          <w:szCs w:val="22"/>
        </w:rPr>
      </w:pPr>
      <w:r w:rsidRPr="003D4696">
        <w:rPr>
          <w:rFonts w:cs="Arial"/>
          <w:b/>
          <w:color w:val="auto"/>
          <w:szCs w:val="22"/>
        </w:rPr>
        <w:t>Residential</w:t>
      </w:r>
    </w:p>
    <w:p w14:paraId="5CCA0788" w14:textId="5979D8C5" w:rsidR="00451F48" w:rsidRPr="003D4696" w:rsidRDefault="00451F48" w:rsidP="00451F48">
      <w:pPr>
        <w:rPr>
          <w:szCs w:val="22"/>
        </w:rPr>
      </w:pPr>
      <w:r w:rsidRPr="003D4696">
        <w:rPr>
          <w:szCs w:val="22"/>
        </w:rPr>
        <w:t xml:space="preserve">Total housing starts continued their growth curve in 2019 but with more modest gains in the </w:t>
      </w:r>
      <w:proofErr w:type="gramStart"/>
      <w:r w:rsidRPr="003D4696">
        <w:rPr>
          <w:szCs w:val="22"/>
        </w:rPr>
        <w:t>single family</w:t>
      </w:r>
      <w:proofErr w:type="gramEnd"/>
      <w:r w:rsidRPr="003D4696">
        <w:rPr>
          <w:szCs w:val="22"/>
        </w:rPr>
        <w:t xml:space="preserve"> segment of 1 percent. Going forward, the overall new housing market is expected to continue to contract in 2020 due to the COVID-19 crisis, with a total decline of 1</w:t>
      </w:r>
      <w:r w:rsidR="00E44624">
        <w:rPr>
          <w:szCs w:val="22"/>
        </w:rPr>
        <w:t>6</w:t>
      </w:r>
      <w:r w:rsidRPr="003D4696">
        <w:rPr>
          <w:szCs w:val="22"/>
        </w:rPr>
        <w:t xml:space="preserve"> percent currently forecasted for 2020. </w:t>
      </w:r>
    </w:p>
    <w:p w14:paraId="5412A9F0" w14:textId="67C55D42" w:rsidR="004571B7" w:rsidRPr="003D4696" w:rsidRDefault="004571B7" w:rsidP="004571B7">
      <w:pPr>
        <w:rPr>
          <w:szCs w:val="22"/>
        </w:rPr>
      </w:pPr>
      <w:r w:rsidRPr="003D4696">
        <w:rPr>
          <w:szCs w:val="22"/>
        </w:rPr>
        <w:t xml:space="preserve">Speaking specifically to </w:t>
      </w:r>
      <w:r w:rsidR="00075936">
        <w:rPr>
          <w:szCs w:val="22"/>
        </w:rPr>
        <w:t xml:space="preserve">residential </w:t>
      </w:r>
      <w:r w:rsidRPr="003D4696">
        <w:rPr>
          <w:szCs w:val="22"/>
        </w:rPr>
        <w:t xml:space="preserve">fenestration, </w:t>
      </w:r>
      <w:r w:rsidR="004A2B0E" w:rsidRPr="003D4696">
        <w:rPr>
          <w:szCs w:val="22"/>
        </w:rPr>
        <w:t xml:space="preserve">the </w:t>
      </w:r>
      <w:r w:rsidR="004A2B0E" w:rsidRPr="003D4696">
        <w:rPr>
          <w:rFonts w:cs="Arial"/>
          <w:szCs w:val="22"/>
        </w:rPr>
        <w:t xml:space="preserve">demand for prime windows fell by 1.1 percent in 2019. The demand for windows in new housing decreased by just under 2 percent in 2019, with a decrease of 10 percent forecasted for 2020 before a recovery with growth of 8 and 6 percent over the following </w:t>
      </w:r>
      <w:r w:rsidR="009F10DC">
        <w:rPr>
          <w:rFonts w:cs="Arial"/>
          <w:szCs w:val="22"/>
        </w:rPr>
        <w:t>two</w:t>
      </w:r>
      <w:r w:rsidR="009F10DC" w:rsidRPr="003D4696">
        <w:rPr>
          <w:rFonts w:cs="Arial"/>
          <w:szCs w:val="22"/>
        </w:rPr>
        <w:t xml:space="preserve"> </w:t>
      </w:r>
      <w:r w:rsidR="004A2B0E" w:rsidRPr="003D4696">
        <w:rPr>
          <w:rFonts w:cs="Arial"/>
          <w:szCs w:val="22"/>
        </w:rPr>
        <w:t>years. Meanwhile</w:t>
      </w:r>
      <w:r w:rsidR="00075936">
        <w:rPr>
          <w:rFonts w:cs="Arial"/>
          <w:szCs w:val="22"/>
        </w:rPr>
        <w:t>,</w:t>
      </w:r>
      <w:r w:rsidR="004A2B0E" w:rsidRPr="003D4696">
        <w:rPr>
          <w:rFonts w:cs="Arial"/>
          <w:szCs w:val="22"/>
        </w:rPr>
        <w:t xml:space="preserve"> remodeling and replacement window demand fell in 2019 by 0.5 percent and </w:t>
      </w:r>
      <w:r w:rsidR="00075936">
        <w:rPr>
          <w:rFonts w:cs="Arial"/>
          <w:szCs w:val="22"/>
        </w:rPr>
        <w:t>is expected to</w:t>
      </w:r>
      <w:r w:rsidR="00075936" w:rsidRPr="003D4696">
        <w:rPr>
          <w:rFonts w:cs="Arial"/>
          <w:szCs w:val="22"/>
        </w:rPr>
        <w:t xml:space="preserve"> </w:t>
      </w:r>
      <w:r w:rsidR="004A2B0E" w:rsidRPr="003D4696">
        <w:rPr>
          <w:rFonts w:cs="Arial"/>
          <w:szCs w:val="22"/>
        </w:rPr>
        <w:t xml:space="preserve">decline in 2020 by </w:t>
      </w:r>
      <w:r w:rsidR="00E44624">
        <w:rPr>
          <w:rFonts w:cs="Arial"/>
          <w:szCs w:val="22"/>
        </w:rPr>
        <w:t>5</w:t>
      </w:r>
      <w:r w:rsidR="004A2B0E" w:rsidRPr="003D4696">
        <w:rPr>
          <w:rFonts w:cs="Arial"/>
          <w:szCs w:val="22"/>
        </w:rPr>
        <w:t xml:space="preserve"> percent, before a recovery with growth of </w:t>
      </w:r>
      <w:r w:rsidR="00E44624">
        <w:rPr>
          <w:rFonts w:cs="Arial"/>
          <w:szCs w:val="22"/>
        </w:rPr>
        <w:t>2</w:t>
      </w:r>
      <w:r w:rsidR="004A2B0E" w:rsidRPr="003D4696">
        <w:rPr>
          <w:rFonts w:cs="Arial"/>
          <w:szCs w:val="22"/>
        </w:rPr>
        <w:t xml:space="preserve"> and 4 percent in 2021 and 2022.  </w:t>
      </w:r>
    </w:p>
    <w:p w14:paraId="72B33EBB" w14:textId="77777777" w:rsidR="004A2B0E" w:rsidRPr="003D4696" w:rsidRDefault="004A2B0E" w:rsidP="004A2B0E">
      <w:pPr>
        <w:jc w:val="both"/>
        <w:rPr>
          <w:rFonts w:cs="Arial"/>
          <w:szCs w:val="22"/>
        </w:rPr>
      </w:pPr>
      <w:r w:rsidRPr="003D4696">
        <w:rPr>
          <w:rFonts w:cs="Arial"/>
          <w:szCs w:val="22"/>
        </w:rPr>
        <w:t>In the residential market, 2019 new construction demand for entry doors grew by 2.3 percent. Meanwhile, entry door remodeling and replacement demand, which continues to represent a significantly larger share of total demand, declined at 4.3 percent. The total market shrank by 2.0 percent versus 2018 and is expected to have a steep drop off in 2020 followed by strong growth in 2021 and 2022.</w:t>
      </w:r>
    </w:p>
    <w:p w14:paraId="3CCDCA15" w14:textId="2EE06544" w:rsidR="004A2B0E" w:rsidRPr="003D4696" w:rsidRDefault="004A2B0E" w:rsidP="004A2B0E">
      <w:pPr>
        <w:rPr>
          <w:szCs w:val="22"/>
        </w:rPr>
      </w:pPr>
      <w:r w:rsidRPr="003D4696">
        <w:rPr>
          <w:szCs w:val="22"/>
        </w:rPr>
        <w:t>In 2019, the market for residential-type skylights grew 4 percent in overall unit shipments compared to 2018 and saw an 8 percent increase compared to 2017. The increase in 2019 was driven primarily by strong replacement and remodel</w:t>
      </w:r>
      <w:r w:rsidR="00075936">
        <w:rPr>
          <w:szCs w:val="22"/>
        </w:rPr>
        <w:t>ing</w:t>
      </w:r>
      <w:r w:rsidRPr="003D4696">
        <w:rPr>
          <w:szCs w:val="22"/>
        </w:rPr>
        <w:t xml:space="preserve"> activity with new construction positive but growing at a slightly lower rate.</w:t>
      </w:r>
    </w:p>
    <w:p w14:paraId="387FC1C5" w14:textId="77777777" w:rsidR="004571B7" w:rsidRPr="003D4696" w:rsidRDefault="004571B7" w:rsidP="004571B7">
      <w:pPr>
        <w:rPr>
          <w:b/>
          <w:szCs w:val="22"/>
        </w:rPr>
      </w:pPr>
      <w:r w:rsidRPr="003D4696">
        <w:rPr>
          <w:b/>
          <w:szCs w:val="22"/>
        </w:rPr>
        <w:t>Non-residential</w:t>
      </w:r>
    </w:p>
    <w:p w14:paraId="03A362EF" w14:textId="04E3651C" w:rsidR="004A2B0E" w:rsidRPr="003D4696" w:rsidRDefault="004A2B0E" w:rsidP="004A2B0E">
      <w:pPr>
        <w:rPr>
          <w:szCs w:val="22"/>
        </w:rPr>
      </w:pPr>
      <w:r w:rsidRPr="003D4696">
        <w:rPr>
          <w:szCs w:val="22"/>
        </w:rPr>
        <w:lastRenderedPageBreak/>
        <w:t xml:space="preserve">Contract awards reflect activity related to new construction and major additions to existing structures. Actual fenestration demand (shipments) for non-residential building activity typically lags contract awards by up to one year or more. This cycle can shorten or lengthen tremendously depending on the complexity or size of a building </w:t>
      </w:r>
      <w:r w:rsidR="00FC223F" w:rsidRPr="003D4696">
        <w:rPr>
          <w:szCs w:val="22"/>
        </w:rPr>
        <w:t>and</w:t>
      </w:r>
      <w:r w:rsidRPr="003D4696">
        <w:rPr>
          <w:szCs w:val="22"/>
        </w:rPr>
        <w:t xml:space="preserve"> when the specific building product is installed during the construction cycle.</w:t>
      </w:r>
    </w:p>
    <w:p w14:paraId="5B64064B" w14:textId="161F72DD" w:rsidR="004A2B0E" w:rsidRPr="003D4696" w:rsidRDefault="004A2B0E" w:rsidP="004A2B0E">
      <w:pPr>
        <w:rPr>
          <w:szCs w:val="22"/>
        </w:rPr>
      </w:pPr>
      <w:r w:rsidRPr="003D4696">
        <w:rPr>
          <w:szCs w:val="22"/>
        </w:rPr>
        <w:t>The 2019 contract award total was flat from 2018. The Manufacturing/Warehouse category decreased by 1 percent in 2019, while contract awards in Office/Hotel/Institutional increased by 1 percent and decreased in Store/Mercantile by 1 percent. Contract awards are expected to decline by about 4 percent in 2020, before recovering in 2021.</w:t>
      </w:r>
    </w:p>
    <w:p w14:paraId="0B2A2B7B" w14:textId="30961275" w:rsidR="003D4696" w:rsidRPr="003D4696" w:rsidRDefault="003D4696" w:rsidP="003D4696">
      <w:pPr>
        <w:rPr>
          <w:szCs w:val="22"/>
        </w:rPr>
      </w:pPr>
      <w:r w:rsidRPr="003D4696">
        <w:rPr>
          <w:szCs w:val="22"/>
        </w:rPr>
        <w:t>Storefront</w:t>
      </w:r>
      <w:r w:rsidR="00E44624">
        <w:rPr>
          <w:szCs w:val="22"/>
        </w:rPr>
        <w:t xml:space="preserve"> windows</w:t>
      </w:r>
      <w:r w:rsidRPr="003D4696">
        <w:rPr>
          <w:szCs w:val="22"/>
        </w:rPr>
        <w:t xml:space="preserve"> represent the largest market segment by vision area with 27.3 percent of the overall non-residential glazing in 2019, followed closely by site-fabricated windows representing 26.3 percent. Site-fabricated are most frequently utilized in new construction and major additions whereas shop-fabricated windows are more common in replacement applications.</w:t>
      </w:r>
    </w:p>
    <w:p w14:paraId="130F7055" w14:textId="52551E42" w:rsidR="003D4696" w:rsidRPr="003D4696" w:rsidRDefault="003D4696" w:rsidP="004571B7">
      <w:pPr>
        <w:rPr>
          <w:rFonts w:cs="Arial"/>
          <w:szCs w:val="22"/>
        </w:rPr>
      </w:pPr>
      <w:r w:rsidRPr="003D4696">
        <w:rPr>
          <w:rFonts w:cs="Arial"/>
          <w:szCs w:val="22"/>
        </w:rPr>
        <w:t>The 2019 market for non-residential entry doors in the U.S. has continued to experience growth, with 2019 volume up 1 percent over 2018 and up 2 percent since 2017.</w:t>
      </w:r>
    </w:p>
    <w:p w14:paraId="690E19A3" w14:textId="01862A3F" w:rsidR="004571B7" w:rsidRPr="003D4696" w:rsidRDefault="004571B7" w:rsidP="004571B7">
      <w:pPr>
        <w:rPr>
          <w:szCs w:val="22"/>
        </w:rPr>
      </w:pPr>
      <w:r w:rsidRPr="003D4696">
        <w:rPr>
          <w:szCs w:val="22"/>
        </w:rPr>
        <w:t xml:space="preserve">The study </w:t>
      </w:r>
      <w:r w:rsidR="004A2B0E" w:rsidRPr="003D4696">
        <w:rPr>
          <w:szCs w:val="22"/>
        </w:rPr>
        <w:t>estimates that the total U.S. market for commercial unit skylights in 2019 saw a 14 percent increase from 2017. Unit sizes commonly average in the range of 22 to 25 square feet but can vary dramatically. Nearly all commercial unit skylights are aluminum framed, and most use some form of plastic glazing (acrylic is most common). In 2019, new construction applications represented approximately 35 percent of the total, up from 31 percent in 2017, reflecting increasing adoption of unitized skylights in commercial buildings.</w:t>
      </w:r>
    </w:p>
    <w:p w14:paraId="5CFA63C5" w14:textId="3867D7B3" w:rsidR="004571B7" w:rsidRPr="003D4696" w:rsidRDefault="004571B7" w:rsidP="004571B7">
      <w:pPr>
        <w:rPr>
          <w:rFonts w:cs="Arial"/>
          <w:color w:val="auto"/>
          <w:szCs w:val="22"/>
        </w:rPr>
      </w:pPr>
      <w:r w:rsidRPr="003D4696">
        <w:rPr>
          <w:rFonts w:cs="Arial"/>
          <w:color w:val="auto"/>
          <w:szCs w:val="22"/>
        </w:rPr>
        <w:t xml:space="preserve">A </w:t>
      </w:r>
      <w:r w:rsidR="00075936">
        <w:rPr>
          <w:rFonts w:cs="Arial"/>
          <w:color w:val="auto"/>
          <w:szCs w:val="22"/>
        </w:rPr>
        <w:t>session</w:t>
      </w:r>
      <w:r w:rsidR="006012C2">
        <w:rPr>
          <w:rFonts w:cs="Arial"/>
          <w:color w:val="auto"/>
          <w:szCs w:val="22"/>
        </w:rPr>
        <w:t xml:space="preserve"> explaining the methodology and forecasting of </w:t>
      </w:r>
      <w:r w:rsidRPr="003D4696">
        <w:rPr>
          <w:rFonts w:cs="Arial"/>
          <w:color w:val="auto"/>
          <w:szCs w:val="22"/>
        </w:rPr>
        <w:t xml:space="preserve">the study </w:t>
      </w:r>
      <w:r w:rsidR="00451F48" w:rsidRPr="003D4696">
        <w:rPr>
          <w:rFonts w:cs="Arial"/>
          <w:color w:val="auto"/>
          <w:szCs w:val="22"/>
        </w:rPr>
        <w:t xml:space="preserve">will take place during the </w:t>
      </w:r>
      <w:hyperlink r:id="rId10" w:history="1">
        <w:r w:rsidR="00451F48" w:rsidRPr="00FC223F">
          <w:rPr>
            <w:rStyle w:val="Hyperlink"/>
            <w:rFonts w:cs="Arial"/>
            <w:sz w:val="22"/>
            <w:szCs w:val="22"/>
          </w:rPr>
          <w:t>FGIA 2020 Virtual Summer Conference</w:t>
        </w:r>
      </w:hyperlink>
      <w:r w:rsidR="00075936">
        <w:rPr>
          <w:rStyle w:val="Hyperlink"/>
          <w:rFonts w:cs="Arial"/>
          <w:sz w:val="22"/>
          <w:szCs w:val="22"/>
        </w:rPr>
        <w:t xml:space="preserve"> to be held</w:t>
      </w:r>
      <w:r w:rsidR="00FC223F">
        <w:rPr>
          <w:rFonts w:cs="Arial"/>
          <w:color w:val="auto"/>
          <w:szCs w:val="22"/>
        </w:rPr>
        <w:t xml:space="preserve"> June</w:t>
      </w:r>
      <w:r w:rsidR="00075936">
        <w:rPr>
          <w:rFonts w:cs="Arial"/>
          <w:color w:val="auto"/>
          <w:szCs w:val="22"/>
        </w:rPr>
        <w:t xml:space="preserve"> 23-25</w:t>
      </w:r>
      <w:r w:rsidRPr="003D4696">
        <w:rPr>
          <w:rFonts w:cs="Arial"/>
          <w:color w:val="auto"/>
          <w:szCs w:val="22"/>
        </w:rPr>
        <w:t xml:space="preserve">. Additional and more detailed information on the residential and commercial fenestration markets is contained in the </w:t>
      </w:r>
      <w:r w:rsidR="00451F48" w:rsidRPr="003D4696">
        <w:rPr>
          <w:rFonts w:cs="Arial"/>
          <w:i/>
          <w:color w:val="auto"/>
          <w:szCs w:val="22"/>
        </w:rPr>
        <w:t>FGIA</w:t>
      </w:r>
      <w:r w:rsidRPr="003D4696">
        <w:rPr>
          <w:rFonts w:cs="Arial"/>
          <w:i/>
          <w:color w:val="auto"/>
          <w:szCs w:val="22"/>
        </w:rPr>
        <w:t xml:space="preserve"> 201</w:t>
      </w:r>
      <w:r w:rsidR="00451F48" w:rsidRPr="003D4696">
        <w:rPr>
          <w:rFonts w:cs="Arial"/>
          <w:i/>
          <w:color w:val="auto"/>
          <w:szCs w:val="22"/>
        </w:rPr>
        <w:t>9</w:t>
      </w:r>
      <w:r w:rsidRPr="003D4696">
        <w:rPr>
          <w:rFonts w:cs="Arial"/>
          <w:i/>
          <w:color w:val="auto"/>
          <w:szCs w:val="22"/>
        </w:rPr>
        <w:t>/20</w:t>
      </w:r>
      <w:r w:rsidR="00451F48" w:rsidRPr="003D4696">
        <w:rPr>
          <w:rFonts w:cs="Arial"/>
          <w:i/>
          <w:color w:val="auto"/>
          <w:szCs w:val="22"/>
        </w:rPr>
        <w:t>20</w:t>
      </w:r>
      <w:r w:rsidRPr="003D4696">
        <w:rPr>
          <w:rFonts w:cs="Arial"/>
          <w:i/>
          <w:color w:val="auto"/>
          <w:szCs w:val="22"/>
        </w:rPr>
        <w:t xml:space="preserve"> Study of the U.S. Market for Windows, Doors and Skylights</w:t>
      </w:r>
      <w:r w:rsidRPr="003D4696">
        <w:rPr>
          <w:rFonts w:cs="Arial"/>
          <w:color w:val="auto"/>
          <w:szCs w:val="22"/>
        </w:rPr>
        <w:t xml:space="preserve"> (published in May 20</w:t>
      </w:r>
      <w:r w:rsidR="00451F48" w:rsidRPr="003D4696">
        <w:rPr>
          <w:rFonts w:cs="Arial"/>
          <w:color w:val="auto"/>
          <w:szCs w:val="22"/>
        </w:rPr>
        <w:t>20</w:t>
      </w:r>
      <w:r w:rsidRPr="003D4696">
        <w:rPr>
          <w:rFonts w:cs="Arial"/>
          <w:color w:val="auto"/>
          <w:szCs w:val="22"/>
        </w:rPr>
        <w:t>), which includes the items listed below.</w:t>
      </w:r>
    </w:p>
    <w:p w14:paraId="0CD26971" w14:textId="02CC4AFD" w:rsidR="004571B7" w:rsidRPr="003D4696" w:rsidRDefault="004571B7" w:rsidP="004571B7">
      <w:pPr>
        <w:pStyle w:val="ListParagraph"/>
        <w:numPr>
          <w:ilvl w:val="0"/>
          <w:numId w:val="20"/>
        </w:numPr>
        <w:rPr>
          <w:rFonts w:cs="Arial"/>
          <w:color w:val="auto"/>
          <w:szCs w:val="22"/>
        </w:rPr>
      </w:pPr>
      <w:r w:rsidRPr="003D4696">
        <w:rPr>
          <w:rFonts w:cs="Arial"/>
          <w:b/>
          <w:i/>
          <w:color w:val="auto"/>
          <w:szCs w:val="22"/>
        </w:rPr>
        <w:t>FGIA U.S. Industry Channel Distribution Report</w:t>
      </w:r>
      <w:r w:rsidRPr="003D4696">
        <w:rPr>
          <w:rFonts w:cs="Arial"/>
          <w:color w:val="auto"/>
          <w:szCs w:val="22"/>
        </w:rPr>
        <w:t xml:space="preserve"> profiles the residential and non-residential market for windows and doors as it flows through the identified distribution channels.</w:t>
      </w:r>
    </w:p>
    <w:p w14:paraId="7F23C49A" w14:textId="61DD5C49" w:rsidR="004571B7" w:rsidRPr="003D4696" w:rsidRDefault="004571B7" w:rsidP="004571B7">
      <w:pPr>
        <w:pStyle w:val="ListParagraph"/>
        <w:numPr>
          <w:ilvl w:val="0"/>
          <w:numId w:val="20"/>
        </w:numPr>
        <w:rPr>
          <w:rFonts w:cs="Arial"/>
          <w:color w:val="auto"/>
          <w:szCs w:val="22"/>
        </w:rPr>
      </w:pPr>
      <w:r w:rsidRPr="003D4696">
        <w:rPr>
          <w:rFonts w:cs="Arial"/>
          <w:b/>
          <w:i/>
          <w:color w:val="auto"/>
          <w:szCs w:val="22"/>
        </w:rPr>
        <w:t>FGIA U.S. Industry Market Size Report</w:t>
      </w:r>
      <w:r w:rsidRPr="003D4696">
        <w:rPr>
          <w:rFonts w:cs="Arial"/>
          <w:color w:val="auto"/>
          <w:szCs w:val="22"/>
        </w:rPr>
        <w:t xml:space="preserve"> quantifies residential and non-residential market volumes, both historic and projected.</w:t>
      </w:r>
    </w:p>
    <w:p w14:paraId="1A3A3CC3" w14:textId="20BA8730" w:rsidR="004571B7" w:rsidRPr="003D4696" w:rsidRDefault="004571B7" w:rsidP="004571B7">
      <w:pPr>
        <w:pStyle w:val="ListParagraph"/>
        <w:numPr>
          <w:ilvl w:val="0"/>
          <w:numId w:val="20"/>
        </w:numPr>
        <w:rPr>
          <w:rFonts w:cs="Arial"/>
          <w:color w:val="auto"/>
          <w:szCs w:val="22"/>
        </w:rPr>
      </w:pPr>
      <w:r w:rsidRPr="003D4696">
        <w:rPr>
          <w:rFonts w:cs="Arial"/>
          <w:b/>
          <w:i/>
          <w:color w:val="auto"/>
          <w:szCs w:val="22"/>
        </w:rPr>
        <w:t>FGIA U.S. Industry Regional Statistical Review and Forecasts</w:t>
      </w:r>
      <w:r w:rsidRPr="003D4696">
        <w:rPr>
          <w:rFonts w:cs="Arial"/>
          <w:color w:val="auto"/>
          <w:szCs w:val="22"/>
        </w:rPr>
        <w:t xml:space="preserve"> details information on trends and product relationships.</w:t>
      </w:r>
    </w:p>
    <w:p w14:paraId="4739BF35" w14:textId="489C84B9" w:rsidR="004571B7" w:rsidRPr="003D4696" w:rsidRDefault="004571B7" w:rsidP="004571B7">
      <w:pPr>
        <w:rPr>
          <w:b/>
          <w:color w:val="auto"/>
          <w:szCs w:val="22"/>
        </w:rPr>
      </w:pPr>
      <w:r w:rsidRPr="003D4696">
        <w:rPr>
          <w:rFonts w:cs="Arial"/>
          <w:color w:val="auto"/>
          <w:szCs w:val="22"/>
        </w:rPr>
        <w:t xml:space="preserve">These reports are all available for purchase online from the </w:t>
      </w:r>
      <w:hyperlink r:id="rId11" w:history="1">
        <w:r w:rsidRPr="003D4696">
          <w:rPr>
            <w:rStyle w:val="Hyperlink"/>
            <w:sz w:val="22"/>
            <w:szCs w:val="22"/>
          </w:rPr>
          <w:t>FGIA Online Store</w:t>
        </w:r>
      </w:hyperlink>
      <w:r w:rsidRPr="003D4696">
        <w:rPr>
          <w:szCs w:val="22"/>
        </w:rPr>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12"/>
      <w:headerReference w:type="default" r:id="rId13"/>
      <w:footerReference w:type="even" r:id="rId14"/>
      <w:footerReference w:type="default" r:id="rId15"/>
      <w:headerReference w:type="first" r:id="rId16"/>
      <w:footerReference w:type="first" r:id="rId1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EAAF" w14:textId="77777777" w:rsidR="00216A1E" w:rsidRDefault="00216A1E">
      <w:pPr>
        <w:spacing w:after="0" w:line="240" w:lineRule="auto"/>
      </w:pPr>
      <w:r>
        <w:separator/>
      </w:r>
    </w:p>
  </w:endnote>
  <w:endnote w:type="continuationSeparator" w:id="0">
    <w:p w14:paraId="01E75D67" w14:textId="77777777" w:rsidR="00216A1E" w:rsidRDefault="0021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FC99" w14:textId="77777777" w:rsidR="00232D98" w:rsidRDefault="00232D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79AF" w14:textId="35A500E0" w:rsidR="00895F3C" w:rsidRPr="009F10DC" w:rsidRDefault="007D091F" w:rsidP="00305DAD">
    <w:pPr>
      <w:pStyle w:val="Footer"/>
      <w:jc w:val="center"/>
      <w:rPr>
        <w:rFonts w:ascii="Arial" w:hAnsi="Arial" w:cs="Arial"/>
        <w:bCs/>
      </w:rPr>
    </w:pPr>
    <w:r w:rsidRPr="009F10DC">
      <w:rPr>
        <w:rFonts w:ascii="Arial" w:hAnsi="Arial" w:cs="Arial"/>
        <w:bCs/>
      </w:rPr>
      <w:t>FGIA</w:t>
    </w:r>
    <w:r w:rsidR="00895F3C" w:rsidRPr="009F10DC">
      <w:rPr>
        <w:rFonts w:ascii="Arial" w:hAnsi="Arial" w:cs="Arial"/>
        <w:bCs/>
      </w:rPr>
      <w:t xml:space="preserve"> </w:t>
    </w:r>
    <w:r w:rsidR="00895F3C" w:rsidRPr="009F10DC">
      <w:rPr>
        <w:rFonts w:ascii="Arial" w:hAnsi="Arial" w:cs="Arial"/>
        <w:bCs/>
      </w:rPr>
      <w:sym w:font="Symbol" w:char="F0B7"/>
    </w:r>
    <w:r w:rsidR="00895F3C" w:rsidRPr="009F10DC">
      <w:rPr>
        <w:rFonts w:ascii="Arial" w:hAnsi="Arial" w:cs="Arial"/>
        <w:bCs/>
      </w:rPr>
      <w:t xml:space="preserve"> </w:t>
    </w:r>
    <w:r w:rsidR="00895F3C" w:rsidRPr="009F10DC">
      <w:rPr>
        <w:rFonts w:ascii="Arial" w:hAnsi="Arial" w:cs="Arial"/>
        <w:bCs/>
        <w:szCs w:val="22"/>
      </w:rPr>
      <w:t>1900 E. Golf Road, Suite 1250</w:t>
    </w:r>
    <w:r w:rsidR="006012C2">
      <w:rPr>
        <w:rFonts w:ascii="Arial" w:hAnsi="Arial" w:cs="Arial"/>
        <w:bCs/>
        <w:szCs w:val="22"/>
      </w:rPr>
      <w:t xml:space="preserve"> </w:t>
    </w:r>
    <w:r w:rsidR="00895F3C" w:rsidRPr="009F10DC">
      <w:rPr>
        <w:rFonts w:ascii="Arial" w:hAnsi="Arial" w:cs="Arial"/>
        <w:bCs/>
      </w:rPr>
      <w:sym w:font="Symbol" w:char="F0B7"/>
    </w:r>
    <w:r w:rsidR="00895F3C" w:rsidRPr="009F10DC">
      <w:rPr>
        <w:rFonts w:ascii="Arial" w:hAnsi="Arial" w:cs="Arial"/>
        <w:bCs/>
      </w:rPr>
      <w:t xml:space="preserve"> Schaumburg, IL 60173 </w:t>
    </w:r>
    <w:r w:rsidR="00895F3C" w:rsidRPr="009F10DC">
      <w:rPr>
        <w:rFonts w:ascii="Arial" w:hAnsi="Arial" w:cs="Arial"/>
        <w:bCs/>
      </w:rPr>
      <w:sym w:font="Symbol" w:char="F0B7"/>
    </w:r>
    <w:r w:rsidR="00895F3C" w:rsidRPr="009F10DC">
      <w:rPr>
        <w:rFonts w:ascii="Arial" w:hAnsi="Arial" w:cs="Arial"/>
        <w:bCs/>
      </w:rPr>
      <w:t xml:space="preserve"> </w:t>
    </w:r>
    <w:r w:rsidR="006012C2">
      <w:rPr>
        <w:rFonts w:ascii="Arial" w:hAnsi="Arial" w:cs="Arial"/>
        <w:bCs/>
      </w:rPr>
      <w:t>P</w:t>
    </w:r>
    <w:r w:rsidR="006012C2" w:rsidRPr="009F10DC">
      <w:rPr>
        <w:rFonts w:ascii="Arial" w:hAnsi="Arial" w:cs="Arial"/>
        <w:bCs/>
      </w:rPr>
      <w:t xml:space="preserve">hone </w:t>
    </w:r>
    <w:r w:rsidR="00895F3C" w:rsidRPr="009F10DC">
      <w:rPr>
        <w:rFonts w:ascii="Arial" w:hAnsi="Arial" w:cs="Arial"/>
        <w:bCs/>
      </w:rPr>
      <w:t xml:space="preserve">847-303-5664 </w:t>
    </w:r>
    <w:r w:rsidR="00895F3C" w:rsidRPr="009F10DC">
      <w:rPr>
        <w:rFonts w:ascii="Arial" w:hAnsi="Arial" w:cs="Arial"/>
        <w:bCs/>
      </w:rPr>
      <w:sym w:font="Symbol" w:char="F0B7"/>
    </w:r>
    <w:r w:rsidR="00895F3C" w:rsidRPr="009F10DC">
      <w:rPr>
        <w:rFonts w:ascii="Arial" w:hAnsi="Arial" w:cs="Arial"/>
        <w:bCs/>
      </w:rPr>
      <w:t xml:space="preserve"> </w:t>
    </w:r>
    <w:r w:rsidR="008646F5" w:rsidRPr="009F10DC">
      <w:rPr>
        <w:rFonts w:ascii="Arial" w:hAnsi="Arial" w:cs="Arial"/>
        <w:bCs/>
      </w:rPr>
      <w:t>FGIAonline</w:t>
    </w:r>
    <w:r w:rsidR="00895F3C" w:rsidRPr="009F10DC">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AADE" w14:textId="77777777" w:rsidR="00232D98" w:rsidRDefault="0023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BC640" w14:textId="77777777" w:rsidR="00216A1E" w:rsidRDefault="00216A1E">
      <w:pPr>
        <w:spacing w:after="0" w:line="240" w:lineRule="auto"/>
      </w:pPr>
      <w:r>
        <w:separator/>
      </w:r>
    </w:p>
  </w:footnote>
  <w:footnote w:type="continuationSeparator" w:id="0">
    <w:p w14:paraId="06A9F6CB" w14:textId="77777777" w:rsidR="00216A1E" w:rsidRDefault="0021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6C271" w14:textId="77777777" w:rsidR="00232D98" w:rsidRDefault="00232D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DC27" w14:textId="77777777" w:rsidR="00232D98" w:rsidRDefault="0023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EB3"/>
    <w:multiLevelType w:val="hybridMultilevel"/>
    <w:tmpl w:val="A6A82EE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A312221"/>
    <w:multiLevelType w:val="multilevel"/>
    <w:tmpl w:val="EC40F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05A36"/>
    <w:multiLevelType w:val="multilevel"/>
    <w:tmpl w:val="42AE9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3A0ECF"/>
    <w:multiLevelType w:val="hybridMultilevel"/>
    <w:tmpl w:val="A51498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A4D5ABA"/>
    <w:multiLevelType w:val="hybridMultilevel"/>
    <w:tmpl w:val="9B2E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4"/>
  </w:num>
  <w:num w:numId="5">
    <w:abstractNumId w:val="15"/>
  </w:num>
  <w:num w:numId="6">
    <w:abstractNumId w:val="2"/>
  </w:num>
  <w:num w:numId="7">
    <w:abstractNumId w:val="5"/>
  </w:num>
  <w:num w:numId="8">
    <w:abstractNumId w:val="3"/>
  </w:num>
  <w:num w:numId="9">
    <w:abstractNumId w:val="8"/>
  </w:num>
  <w:num w:numId="10">
    <w:abstractNumId w:val="17"/>
  </w:num>
  <w:num w:numId="11">
    <w:abstractNumId w:val="10"/>
  </w:num>
  <w:num w:numId="12">
    <w:abstractNumId w:val="7"/>
  </w:num>
  <w:num w:numId="13">
    <w:abstractNumId w:val="18"/>
  </w:num>
  <w:num w:numId="14">
    <w:abstractNumId w:val="11"/>
  </w:num>
  <w:num w:numId="15">
    <w:abstractNumId w:val="12"/>
  </w:num>
  <w:num w:numId="16">
    <w:abstractNumId w:val="1"/>
  </w:num>
  <w:num w:numId="17">
    <w:abstractNumId w:val="0"/>
  </w:num>
  <w:num w:numId="18">
    <w:abstractNumId w:val="6"/>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936"/>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E56E4"/>
    <w:rsid w:val="000F28C4"/>
    <w:rsid w:val="000F32D4"/>
    <w:rsid w:val="001027F1"/>
    <w:rsid w:val="00111B4D"/>
    <w:rsid w:val="00112C64"/>
    <w:rsid w:val="00112D48"/>
    <w:rsid w:val="001160A2"/>
    <w:rsid w:val="00116B2B"/>
    <w:rsid w:val="0012165C"/>
    <w:rsid w:val="001269F0"/>
    <w:rsid w:val="00126AF7"/>
    <w:rsid w:val="00127917"/>
    <w:rsid w:val="001325C9"/>
    <w:rsid w:val="00135975"/>
    <w:rsid w:val="00135DCD"/>
    <w:rsid w:val="001418B1"/>
    <w:rsid w:val="001551CB"/>
    <w:rsid w:val="00157286"/>
    <w:rsid w:val="00160035"/>
    <w:rsid w:val="00162CE8"/>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16A1E"/>
    <w:rsid w:val="00221DF1"/>
    <w:rsid w:val="00226754"/>
    <w:rsid w:val="002302BE"/>
    <w:rsid w:val="0023267C"/>
    <w:rsid w:val="00232D98"/>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C76E2"/>
    <w:rsid w:val="002D731F"/>
    <w:rsid w:val="002E4EA2"/>
    <w:rsid w:val="002E5348"/>
    <w:rsid w:val="002F2E8A"/>
    <w:rsid w:val="002F60E9"/>
    <w:rsid w:val="002F6401"/>
    <w:rsid w:val="0030043C"/>
    <w:rsid w:val="00303CE5"/>
    <w:rsid w:val="0030490D"/>
    <w:rsid w:val="00304BE7"/>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A248D"/>
    <w:rsid w:val="003A59D2"/>
    <w:rsid w:val="003B017E"/>
    <w:rsid w:val="003B437E"/>
    <w:rsid w:val="003C4460"/>
    <w:rsid w:val="003D4696"/>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51F48"/>
    <w:rsid w:val="004571B7"/>
    <w:rsid w:val="00465888"/>
    <w:rsid w:val="00476339"/>
    <w:rsid w:val="00476846"/>
    <w:rsid w:val="004777D3"/>
    <w:rsid w:val="00477E93"/>
    <w:rsid w:val="0048328A"/>
    <w:rsid w:val="00484559"/>
    <w:rsid w:val="00486661"/>
    <w:rsid w:val="004907CC"/>
    <w:rsid w:val="00494C61"/>
    <w:rsid w:val="004A05C5"/>
    <w:rsid w:val="004A1526"/>
    <w:rsid w:val="004A2B0E"/>
    <w:rsid w:val="004A4E8F"/>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1D03"/>
    <w:rsid w:val="0054638A"/>
    <w:rsid w:val="005500F1"/>
    <w:rsid w:val="00556E3E"/>
    <w:rsid w:val="00566D81"/>
    <w:rsid w:val="00570D21"/>
    <w:rsid w:val="0057201B"/>
    <w:rsid w:val="00575ECC"/>
    <w:rsid w:val="00576237"/>
    <w:rsid w:val="0057794B"/>
    <w:rsid w:val="005839A5"/>
    <w:rsid w:val="005875E8"/>
    <w:rsid w:val="00595CCB"/>
    <w:rsid w:val="00596EF5"/>
    <w:rsid w:val="005B6151"/>
    <w:rsid w:val="005B684C"/>
    <w:rsid w:val="005B69E5"/>
    <w:rsid w:val="005C15B4"/>
    <w:rsid w:val="005C5FD0"/>
    <w:rsid w:val="005C7D7D"/>
    <w:rsid w:val="005D4F98"/>
    <w:rsid w:val="005D6362"/>
    <w:rsid w:val="005D762F"/>
    <w:rsid w:val="005E2908"/>
    <w:rsid w:val="005E562A"/>
    <w:rsid w:val="005E7A8B"/>
    <w:rsid w:val="006012C2"/>
    <w:rsid w:val="006022C3"/>
    <w:rsid w:val="00603FAD"/>
    <w:rsid w:val="00604C84"/>
    <w:rsid w:val="00606D78"/>
    <w:rsid w:val="00610F0C"/>
    <w:rsid w:val="00616CF9"/>
    <w:rsid w:val="0062398A"/>
    <w:rsid w:val="006317F5"/>
    <w:rsid w:val="00631C6B"/>
    <w:rsid w:val="00633C63"/>
    <w:rsid w:val="00635D81"/>
    <w:rsid w:val="00655CA4"/>
    <w:rsid w:val="00660EF6"/>
    <w:rsid w:val="00663171"/>
    <w:rsid w:val="00664729"/>
    <w:rsid w:val="00664BE4"/>
    <w:rsid w:val="00674CCF"/>
    <w:rsid w:val="0067584D"/>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3CB2"/>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749E"/>
    <w:rsid w:val="007621A7"/>
    <w:rsid w:val="007750EA"/>
    <w:rsid w:val="0077731F"/>
    <w:rsid w:val="00783EA4"/>
    <w:rsid w:val="00784394"/>
    <w:rsid w:val="00784F7B"/>
    <w:rsid w:val="007905BA"/>
    <w:rsid w:val="00791AFA"/>
    <w:rsid w:val="007A5E7D"/>
    <w:rsid w:val="007B3A4C"/>
    <w:rsid w:val="007D091F"/>
    <w:rsid w:val="007D20E2"/>
    <w:rsid w:val="007E2B74"/>
    <w:rsid w:val="007E3DFE"/>
    <w:rsid w:val="007F075D"/>
    <w:rsid w:val="007F0777"/>
    <w:rsid w:val="007F6F45"/>
    <w:rsid w:val="00802F68"/>
    <w:rsid w:val="00806290"/>
    <w:rsid w:val="00806E15"/>
    <w:rsid w:val="0080753C"/>
    <w:rsid w:val="00813F90"/>
    <w:rsid w:val="00817E51"/>
    <w:rsid w:val="008260FB"/>
    <w:rsid w:val="00831F8A"/>
    <w:rsid w:val="00835913"/>
    <w:rsid w:val="00836F54"/>
    <w:rsid w:val="0084147D"/>
    <w:rsid w:val="008414E6"/>
    <w:rsid w:val="00841502"/>
    <w:rsid w:val="00843511"/>
    <w:rsid w:val="00843697"/>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552D"/>
    <w:rsid w:val="008B7133"/>
    <w:rsid w:val="008D2053"/>
    <w:rsid w:val="008D67D5"/>
    <w:rsid w:val="008D6F93"/>
    <w:rsid w:val="008D7EA5"/>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34707"/>
    <w:rsid w:val="00943896"/>
    <w:rsid w:val="00944FA5"/>
    <w:rsid w:val="00947D40"/>
    <w:rsid w:val="00954264"/>
    <w:rsid w:val="00962E75"/>
    <w:rsid w:val="00962E87"/>
    <w:rsid w:val="00963420"/>
    <w:rsid w:val="00967D62"/>
    <w:rsid w:val="00974A6B"/>
    <w:rsid w:val="00974E9A"/>
    <w:rsid w:val="00975E10"/>
    <w:rsid w:val="00996982"/>
    <w:rsid w:val="009A0248"/>
    <w:rsid w:val="009A1C1B"/>
    <w:rsid w:val="009A23BB"/>
    <w:rsid w:val="009A2C5D"/>
    <w:rsid w:val="009B2500"/>
    <w:rsid w:val="009B3BB5"/>
    <w:rsid w:val="009B572A"/>
    <w:rsid w:val="009C1FCE"/>
    <w:rsid w:val="009C478A"/>
    <w:rsid w:val="009D4E05"/>
    <w:rsid w:val="009D626F"/>
    <w:rsid w:val="009D7532"/>
    <w:rsid w:val="009D78B5"/>
    <w:rsid w:val="009E773D"/>
    <w:rsid w:val="009E7961"/>
    <w:rsid w:val="009E797A"/>
    <w:rsid w:val="009F10DC"/>
    <w:rsid w:val="009F4F88"/>
    <w:rsid w:val="009F6D20"/>
    <w:rsid w:val="00A03A37"/>
    <w:rsid w:val="00A1046C"/>
    <w:rsid w:val="00A2254C"/>
    <w:rsid w:val="00A26B78"/>
    <w:rsid w:val="00A3027E"/>
    <w:rsid w:val="00A311A2"/>
    <w:rsid w:val="00A41F02"/>
    <w:rsid w:val="00A43F9D"/>
    <w:rsid w:val="00A441A2"/>
    <w:rsid w:val="00A46A06"/>
    <w:rsid w:val="00A54613"/>
    <w:rsid w:val="00A65771"/>
    <w:rsid w:val="00A7487C"/>
    <w:rsid w:val="00A7509E"/>
    <w:rsid w:val="00A75D7F"/>
    <w:rsid w:val="00A802C0"/>
    <w:rsid w:val="00A808FF"/>
    <w:rsid w:val="00A84FE7"/>
    <w:rsid w:val="00A934DE"/>
    <w:rsid w:val="00AA1F2D"/>
    <w:rsid w:val="00AB09AB"/>
    <w:rsid w:val="00AB4FEF"/>
    <w:rsid w:val="00AC0581"/>
    <w:rsid w:val="00AC08FA"/>
    <w:rsid w:val="00AC5F33"/>
    <w:rsid w:val="00AC6DB8"/>
    <w:rsid w:val="00AD1FC5"/>
    <w:rsid w:val="00AE1550"/>
    <w:rsid w:val="00AE1A71"/>
    <w:rsid w:val="00AE1E8F"/>
    <w:rsid w:val="00AE201A"/>
    <w:rsid w:val="00AF4A0B"/>
    <w:rsid w:val="00B03BCD"/>
    <w:rsid w:val="00B15259"/>
    <w:rsid w:val="00B178D4"/>
    <w:rsid w:val="00B21502"/>
    <w:rsid w:val="00B27515"/>
    <w:rsid w:val="00B362B4"/>
    <w:rsid w:val="00B3724B"/>
    <w:rsid w:val="00B37FE2"/>
    <w:rsid w:val="00B418A5"/>
    <w:rsid w:val="00B42E4E"/>
    <w:rsid w:val="00B43C0A"/>
    <w:rsid w:val="00B719AF"/>
    <w:rsid w:val="00B80930"/>
    <w:rsid w:val="00B82B11"/>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0D24"/>
    <w:rsid w:val="00C150E4"/>
    <w:rsid w:val="00C24AE7"/>
    <w:rsid w:val="00C256B4"/>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7A3B"/>
    <w:rsid w:val="00D32244"/>
    <w:rsid w:val="00D32E21"/>
    <w:rsid w:val="00D33DB8"/>
    <w:rsid w:val="00D4456F"/>
    <w:rsid w:val="00D45543"/>
    <w:rsid w:val="00D546F2"/>
    <w:rsid w:val="00D61E4E"/>
    <w:rsid w:val="00D66EED"/>
    <w:rsid w:val="00D67C50"/>
    <w:rsid w:val="00D72A53"/>
    <w:rsid w:val="00D770BE"/>
    <w:rsid w:val="00D77FD6"/>
    <w:rsid w:val="00D869B6"/>
    <w:rsid w:val="00D87ADD"/>
    <w:rsid w:val="00D92428"/>
    <w:rsid w:val="00D9258D"/>
    <w:rsid w:val="00DA55B0"/>
    <w:rsid w:val="00DA6038"/>
    <w:rsid w:val="00DA6A2F"/>
    <w:rsid w:val="00DB2A7C"/>
    <w:rsid w:val="00DB4E38"/>
    <w:rsid w:val="00DC00FB"/>
    <w:rsid w:val="00DC6C04"/>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276EC"/>
    <w:rsid w:val="00E357DC"/>
    <w:rsid w:val="00E36606"/>
    <w:rsid w:val="00E40DA8"/>
    <w:rsid w:val="00E41966"/>
    <w:rsid w:val="00E422B2"/>
    <w:rsid w:val="00E44624"/>
    <w:rsid w:val="00E513B2"/>
    <w:rsid w:val="00E5286E"/>
    <w:rsid w:val="00E568BA"/>
    <w:rsid w:val="00E61019"/>
    <w:rsid w:val="00E649AC"/>
    <w:rsid w:val="00E665E1"/>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27DBF"/>
    <w:rsid w:val="00F426C5"/>
    <w:rsid w:val="00F446A0"/>
    <w:rsid w:val="00F4584E"/>
    <w:rsid w:val="00F50519"/>
    <w:rsid w:val="00F513AF"/>
    <w:rsid w:val="00F526AA"/>
    <w:rsid w:val="00F56BBC"/>
    <w:rsid w:val="00F57419"/>
    <w:rsid w:val="00F57F77"/>
    <w:rsid w:val="00F63CA1"/>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23F"/>
    <w:rsid w:val="00FC29DB"/>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uiPriority w:val="20"/>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nhideWhenUsed/>
    <w:rsid w:val="00784394"/>
    <w:rPr>
      <w:sz w:val="16"/>
      <w:szCs w:val="16"/>
    </w:rPr>
  </w:style>
  <w:style w:type="paragraph" w:styleId="CommentText">
    <w:name w:val="annotation text"/>
    <w:basedOn w:val="Normal"/>
    <w:link w:val="CommentTextChar"/>
    <w:unhideWhenUsed/>
    <w:rsid w:val="00784394"/>
    <w:rPr>
      <w:sz w:val="20"/>
    </w:rPr>
  </w:style>
  <w:style w:type="character" w:customStyle="1" w:styleId="CommentTextChar">
    <w:name w:val="Comment Text Char"/>
    <w:basedOn w:val="DefaultParagraphFont"/>
    <w:link w:val="CommentText"/>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Capbulletindent">
    <w:name w:val="Cap bullet indent"/>
    <w:rsid w:val="00451F48"/>
    <w:pPr>
      <w:widowControl w:val="0"/>
      <w:ind w:left="1800" w:right="1440"/>
      <w:jc w:val="both"/>
    </w:pPr>
    <w:rPr>
      <w:snapToGrid w:val="0"/>
    </w:rPr>
  </w:style>
  <w:style w:type="paragraph" w:styleId="BodyText3">
    <w:name w:val="Body Text 3"/>
    <w:basedOn w:val="Normal"/>
    <w:link w:val="BodyText3Char"/>
    <w:rsid w:val="00451F48"/>
    <w:pPr>
      <w:tabs>
        <w:tab w:val="clear" w:pos="0"/>
      </w:tabs>
      <w:overflowPunct/>
      <w:autoSpaceDE/>
      <w:autoSpaceDN/>
      <w:adjustRightInd/>
      <w:spacing w:after="0" w:line="240" w:lineRule="auto"/>
      <w:jc w:val="both"/>
      <w:textAlignment w:val="auto"/>
    </w:pPr>
    <w:rPr>
      <w:rFonts w:ascii="Times New Roman" w:hAnsi="Times New Roman"/>
      <w:color w:val="auto"/>
      <w:sz w:val="24"/>
      <w:lang w:eastAsia="ko-KR"/>
    </w:rPr>
  </w:style>
  <w:style w:type="character" w:customStyle="1" w:styleId="BodyText3Char">
    <w:name w:val="Body Text 3 Char"/>
    <w:basedOn w:val="DefaultParagraphFont"/>
    <w:link w:val="BodyText3"/>
    <w:rsid w:val="00451F48"/>
    <w:rPr>
      <w:sz w:val="24"/>
      <w:lang w:eastAsia="ko-KR"/>
    </w:rPr>
  </w:style>
  <w:style w:type="paragraph" w:customStyle="1" w:styleId="capitalparagraphs">
    <w:name w:val="capital paragraphs"/>
    <w:rsid w:val="003D4696"/>
    <w:pPr>
      <w:widowControl w:val="0"/>
      <w:spacing w:line="360" w:lineRule="atLeast"/>
      <w:ind w:left="1440" w:right="7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21993364">
      <w:bodyDiv w:val="1"/>
      <w:marLeft w:val="0"/>
      <w:marRight w:val="0"/>
      <w:marTop w:val="0"/>
      <w:marBottom w:val="0"/>
      <w:divBdr>
        <w:top w:val="none" w:sz="0" w:space="0" w:color="auto"/>
        <w:left w:val="none" w:sz="0" w:space="0" w:color="auto"/>
        <w:bottom w:val="none" w:sz="0" w:space="0" w:color="auto"/>
        <w:right w:val="none" w:sz="0" w:space="0" w:color="auto"/>
      </w:divBdr>
    </w:div>
    <w:div w:id="623779018">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7732772">
      <w:bodyDiv w:val="1"/>
      <w:marLeft w:val="0"/>
      <w:marRight w:val="0"/>
      <w:marTop w:val="0"/>
      <w:marBottom w:val="0"/>
      <w:divBdr>
        <w:top w:val="none" w:sz="0" w:space="0" w:color="auto"/>
        <w:left w:val="none" w:sz="0" w:space="0" w:color="auto"/>
        <w:bottom w:val="none" w:sz="0" w:space="0" w:color="auto"/>
        <w:right w:val="none" w:sz="0" w:space="0" w:color="auto"/>
      </w:divBdr>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tore.aamanet.org/pubstore/ProductResults.asp?cat=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amanet.org/events/249/2020-fgia-virtual-summer-confer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3A023-FB96-4234-A8CB-AF413162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5403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2020-05-27T19:59:00Z</dcterms:created>
  <dcterms:modified xsi:type="dcterms:W3CDTF">2020-05-27T19:59:00Z</dcterms:modified>
</cp:coreProperties>
</file>