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8BCA" w14:textId="77777777" w:rsidR="00F43536" w:rsidRPr="00FB2D7A" w:rsidRDefault="00F43536" w:rsidP="00BD7AEF">
      <w:pPr>
        <w:pStyle w:val="Subtitle"/>
        <w:spacing w:after="0"/>
        <w:contextualSpacing/>
        <w:jc w:val="left"/>
        <w:rPr>
          <w:rFonts w:ascii="Times New Roman" w:hAnsi="Times New Roman"/>
          <w:i/>
          <w:sz w:val="22"/>
          <w:szCs w:val="22"/>
        </w:rPr>
      </w:pPr>
    </w:p>
    <w:p w14:paraId="3007CA6E" w14:textId="36A4796D" w:rsidR="00762696" w:rsidRPr="00FB2D7A" w:rsidRDefault="00915D6F" w:rsidP="00BD7AEF">
      <w:pPr>
        <w:pStyle w:val="Subtitle"/>
        <w:spacing w:after="0"/>
        <w:contextualSpacing/>
        <w:jc w:val="left"/>
        <w:rPr>
          <w:rFonts w:ascii="Times New Roman" w:hAnsi="Times New Roman"/>
          <w:i/>
          <w:sz w:val="20"/>
          <w:szCs w:val="20"/>
        </w:rPr>
      </w:pPr>
      <w:r w:rsidRPr="00FB2D7A">
        <w:rPr>
          <w:rFonts w:ascii="Times New Roman" w:hAnsi="Times New Roman"/>
          <w:i/>
          <w:sz w:val="20"/>
          <w:szCs w:val="20"/>
        </w:rPr>
        <w:t>Media contact:</w:t>
      </w:r>
      <w:r w:rsidRPr="00FB2D7A">
        <w:rPr>
          <w:rFonts w:ascii="Times New Roman" w:hAnsi="Times New Roman"/>
          <w:i/>
          <w:sz w:val="20"/>
          <w:szCs w:val="20"/>
        </w:rPr>
        <w:tab/>
      </w:r>
      <w:r w:rsidR="00762696" w:rsidRPr="00FB2D7A">
        <w:rPr>
          <w:rFonts w:ascii="Times New Roman" w:hAnsi="Times New Roman"/>
          <w:i/>
          <w:sz w:val="20"/>
          <w:szCs w:val="20"/>
        </w:rPr>
        <w:t>Heather West, 612-724-8760, heather@heatherwestpr.com</w:t>
      </w:r>
    </w:p>
    <w:p w14:paraId="35EDB627" w14:textId="77777777" w:rsidR="00C43A4F" w:rsidRPr="00FB2D7A" w:rsidRDefault="00C43A4F" w:rsidP="00BD7AEF">
      <w:pPr>
        <w:contextualSpacing/>
        <w:rPr>
          <w:b/>
          <w:color w:val="000000"/>
          <w:sz w:val="22"/>
          <w:szCs w:val="22"/>
          <w:u w:val="single"/>
        </w:rPr>
      </w:pPr>
    </w:p>
    <w:p w14:paraId="6CD21637" w14:textId="250CD28C" w:rsidR="00762696" w:rsidRPr="00FB2D7A" w:rsidRDefault="00FB2D7A" w:rsidP="00BD7AEF">
      <w:pPr>
        <w:contextualSpacing/>
        <w:rPr>
          <w:rFonts w:ascii="Helvetica" w:hAnsi="Helvetica"/>
          <w:color w:val="000000"/>
          <w:sz w:val="30"/>
          <w:szCs w:val="30"/>
        </w:rPr>
      </w:pPr>
      <w:r w:rsidRPr="00FB2D7A">
        <w:rPr>
          <w:rFonts w:ascii="Helvetica" w:hAnsi="Helvetica"/>
          <w:b/>
          <w:bCs/>
          <w:color w:val="000000" w:themeColor="text1"/>
          <w:sz w:val="30"/>
          <w:szCs w:val="30"/>
        </w:rPr>
        <w:t>McKelvey Hall at WashU aligns with LEED and WELL criteria, features Tubelite’s entrance, window and curtainwall systems</w:t>
      </w:r>
    </w:p>
    <w:p w14:paraId="0E3EB62A" w14:textId="77777777" w:rsidR="00FB2D7A" w:rsidRPr="00FB2D7A" w:rsidRDefault="00FB2D7A" w:rsidP="00BD7AEF">
      <w:pPr>
        <w:contextualSpacing/>
        <w:rPr>
          <w:sz w:val="22"/>
          <w:szCs w:val="22"/>
        </w:rPr>
      </w:pPr>
    </w:p>
    <w:p w14:paraId="667B3B53" w14:textId="5B6C359A" w:rsidR="00FB2D7A" w:rsidRPr="00410F8F" w:rsidRDefault="00762696" w:rsidP="00BD7AEF">
      <w:pPr>
        <w:contextualSpacing/>
        <w:rPr>
          <w:sz w:val="22"/>
          <w:szCs w:val="22"/>
        </w:rPr>
      </w:pPr>
      <w:r w:rsidRPr="00B4788E">
        <w:rPr>
          <w:sz w:val="22"/>
          <w:szCs w:val="22"/>
        </w:rPr>
        <w:t>Walker, Michigan (</w:t>
      </w:r>
      <w:r w:rsidR="00FB2D7A" w:rsidRPr="00B4788E">
        <w:rPr>
          <w:sz w:val="22"/>
          <w:szCs w:val="22"/>
        </w:rPr>
        <w:t>Aug.</w:t>
      </w:r>
      <w:r w:rsidR="00EB19D4" w:rsidRPr="00B4788E">
        <w:rPr>
          <w:sz w:val="22"/>
          <w:szCs w:val="22"/>
        </w:rPr>
        <w:t xml:space="preserve"> </w:t>
      </w:r>
      <w:r w:rsidR="00C67AA4" w:rsidRPr="00B4788E">
        <w:rPr>
          <w:sz w:val="22"/>
          <w:szCs w:val="22"/>
        </w:rPr>
        <w:t>202</w:t>
      </w:r>
      <w:r w:rsidR="006264AE">
        <w:rPr>
          <w:sz w:val="22"/>
          <w:szCs w:val="22"/>
        </w:rPr>
        <w:t>3</w:t>
      </w:r>
      <w:r w:rsidRPr="00B4788E">
        <w:rPr>
          <w:sz w:val="22"/>
          <w:szCs w:val="22"/>
        </w:rPr>
        <w:t>) –</w:t>
      </w:r>
      <w:r w:rsidR="00853B64" w:rsidRPr="00B4788E">
        <w:rPr>
          <w:sz w:val="22"/>
          <w:szCs w:val="22"/>
        </w:rPr>
        <w:t xml:space="preserve"> </w:t>
      </w:r>
      <w:r w:rsidR="00FB2D7A" w:rsidRPr="00B4788E">
        <w:rPr>
          <w:sz w:val="22"/>
          <w:szCs w:val="22"/>
        </w:rPr>
        <w:t>Part of the largest capital project in Washington University’s</w:t>
      </w:r>
      <w:r w:rsidR="00FB2D7A" w:rsidRPr="00FB2D7A">
        <w:rPr>
          <w:sz w:val="22"/>
          <w:szCs w:val="22"/>
        </w:rPr>
        <w:t xml:space="preserve"> (WashU’s) 125-year history, James M. McKelvey, Sr. Hall completes the final stage for the East End Transformation of Danforth Campus in St. Louis, Missouri.</w:t>
      </w:r>
      <w:r w:rsidR="007A2418">
        <w:rPr>
          <w:sz w:val="22"/>
          <w:szCs w:val="22"/>
        </w:rPr>
        <w:t xml:space="preserve"> </w:t>
      </w:r>
      <w:r w:rsidR="00FB2D7A" w:rsidRPr="00FB2D7A">
        <w:rPr>
          <w:sz w:val="22"/>
          <w:szCs w:val="22"/>
        </w:rPr>
        <w:t>Sustainability and occupant well-being were essential objectives for the</w:t>
      </w:r>
      <w:r w:rsidR="00FB2D7A" w:rsidRPr="00410F8F">
        <w:rPr>
          <w:sz w:val="22"/>
          <w:szCs w:val="22"/>
        </w:rPr>
        <w:t xml:space="preserve"> university</w:t>
      </w:r>
      <w:r w:rsidR="006162CD">
        <w:rPr>
          <w:sz w:val="22"/>
          <w:szCs w:val="22"/>
        </w:rPr>
        <w:t>.</w:t>
      </w:r>
    </w:p>
    <w:p w14:paraId="209FC967" w14:textId="77777777" w:rsidR="00FB2D7A" w:rsidRPr="00410F8F" w:rsidRDefault="00FB2D7A" w:rsidP="00BD7AEF">
      <w:pPr>
        <w:contextualSpacing/>
        <w:rPr>
          <w:sz w:val="22"/>
          <w:szCs w:val="22"/>
        </w:rPr>
      </w:pPr>
    </w:p>
    <w:p w14:paraId="2CFE3DA0" w14:textId="3D393213" w:rsidR="00FB2D7A" w:rsidRPr="00410F8F" w:rsidRDefault="00FB2D7A" w:rsidP="00435B7C">
      <w:pPr>
        <w:ind w:right="90"/>
        <w:contextualSpacing/>
        <w:rPr>
          <w:sz w:val="22"/>
          <w:szCs w:val="22"/>
        </w:rPr>
      </w:pPr>
      <w:r w:rsidRPr="00410F8F">
        <w:rPr>
          <w:sz w:val="22"/>
          <w:szCs w:val="22"/>
        </w:rPr>
        <w:t xml:space="preserve">To meet the project’s numerous design goals and performance requirements, </w:t>
      </w:r>
      <w:r w:rsidR="006342DF" w:rsidRPr="00410F8F">
        <w:rPr>
          <w:sz w:val="22"/>
          <w:szCs w:val="22"/>
        </w:rPr>
        <w:t xml:space="preserve">Tubelite and representative, Doug </w:t>
      </w:r>
      <w:proofErr w:type="spellStart"/>
      <w:r w:rsidR="006342DF" w:rsidRPr="00410F8F">
        <w:rPr>
          <w:sz w:val="22"/>
          <w:szCs w:val="22"/>
        </w:rPr>
        <w:t>Urich</w:t>
      </w:r>
      <w:proofErr w:type="spellEnd"/>
      <w:r w:rsidR="006342DF" w:rsidRPr="00410F8F">
        <w:rPr>
          <w:sz w:val="22"/>
          <w:szCs w:val="22"/>
        </w:rPr>
        <w:t xml:space="preserve"> of ARCHON Fenestration Technologies</w:t>
      </w:r>
      <w:r w:rsidR="006342DF" w:rsidRPr="00E7009E">
        <w:rPr>
          <w:sz w:val="22"/>
          <w:szCs w:val="22"/>
        </w:rPr>
        <w:t xml:space="preserve"> </w:t>
      </w:r>
      <w:r w:rsidR="00B4788E">
        <w:rPr>
          <w:sz w:val="22"/>
          <w:szCs w:val="22"/>
        </w:rPr>
        <w:t xml:space="preserve">worked closely with the design and building team. In addition to Tubelite, </w:t>
      </w:r>
      <w:r w:rsidR="00435B7C">
        <w:rPr>
          <w:sz w:val="22"/>
          <w:szCs w:val="22"/>
        </w:rPr>
        <w:t xml:space="preserve">WashU’s </w:t>
      </w:r>
      <w:r w:rsidR="007A2418" w:rsidRPr="00410F8F">
        <w:rPr>
          <w:sz w:val="22"/>
          <w:szCs w:val="22"/>
        </w:rPr>
        <w:t xml:space="preserve">86,500-square-foot </w:t>
      </w:r>
      <w:r w:rsidR="00435B7C">
        <w:rPr>
          <w:sz w:val="22"/>
          <w:szCs w:val="22"/>
        </w:rPr>
        <w:t xml:space="preserve">McKelvey Hall </w:t>
      </w:r>
      <w:r w:rsidR="006342DF" w:rsidRPr="00410F8F">
        <w:rPr>
          <w:sz w:val="22"/>
          <w:szCs w:val="22"/>
        </w:rPr>
        <w:t>project</w:t>
      </w:r>
      <w:r w:rsidR="00B4788E">
        <w:rPr>
          <w:sz w:val="22"/>
          <w:szCs w:val="22"/>
        </w:rPr>
        <w:t xml:space="preserve"> w</w:t>
      </w:r>
      <w:r w:rsidRPr="00410F8F">
        <w:rPr>
          <w:sz w:val="22"/>
          <w:szCs w:val="22"/>
        </w:rPr>
        <w:t xml:space="preserve">as supported </w:t>
      </w:r>
      <w:r w:rsidR="00B4788E">
        <w:rPr>
          <w:sz w:val="22"/>
          <w:szCs w:val="22"/>
        </w:rPr>
        <w:t>with products and services from</w:t>
      </w:r>
      <w:r w:rsidRPr="00410F8F">
        <w:rPr>
          <w:sz w:val="22"/>
          <w:szCs w:val="22"/>
        </w:rPr>
        <w:t xml:space="preserve"> </w:t>
      </w:r>
      <w:r w:rsidR="006342DF" w:rsidRPr="00410F8F">
        <w:rPr>
          <w:sz w:val="22"/>
          <w:szCs w:val="22"/>
        </w:rPr>
        <w:t>Wausau Window and Wall Systems, Viracon and</w:t>
      </w:r>
      <w:r w:rsidRPr="00410F8F">
        <w:rPr>
          <w:sz w:val="22"/>
          <w:szCs w:val="22"/>
        </w:rPr>
        <w:t xml:space="preserve"> Linetec.</w:t>
      </w:r>
    </w:p>
    <w:p w14:paraId="308EE85C" w14:textId="77777777" w:rsidR="00FB2D7A" w:rsidRPr="00410F8F" w:rsidRDefault="00FB2D7A" w:rsidP="00BD7AEF">
      <w:pPr>
        <w:contextualSpacing/>
        <w:rPr>
          <w:sz w:val="22"/>
          <w:szCs w:val="22"/>
        </w:rPr>
      </w:pPr>
    </w:p>
    <w:p w14:paraId="082CB225" w14:textId="2D7DCE90" w:rsidR="00AE6294" w:rsidRPr="00AE6294" w:rsidRDefault="00AE6294" w:rsidP="00BD7AEF">
      <w:pPr>
        <w:contextualSpacing/>
        <w:rPr>
          <w:b/>
          <w:bCs/>
          <w:i/>
          <w:iCs/>
          <w:sz w:val="22"/>
          <w:szCs w:val="22"/>
        </w:rPr>
      </w:pPr>
      <w:r>
        <w:rPr>
          <w:b/>
          <w:bCs/>
          <w:i/>
          <w:iCs/>
          <w:sz w:val="22"/>
          <w:szCs w:val="22"/>
        </w:rPr>
        <w:t>Going</w:t>
      </w:r>
      <w:r w:rsidRPr="00AE6294">
        <w:rPr>
          <w:b/>
          <w:bCs/>
          <w:i/>
          <w:iCs/>
          <w:sz w:val="22"/>
          <w:szCs w:val="22"/>
        </w:rPr>
        <w:t xml:space="preserve"> for Gold</w:t>
      </w:r>
    </w:p>
    <w:p w14:paraId="29C51DFD" w14:textId="53C6DDFD" w:rsidR="00410F8F" w:rsidRPr="00410F8F" w:rsidRDefault="00D74E63" w:rsidP="00BD7AEF">
      <w:pPr>
        <w:contextualSpacing/>
        <w:rPr>
          <w:sz w:val="22"/>
          <w:szCs w:val="22"/>
        </w:rPr>
      </w:pPr>
      <w:r w:rsidRPr="00410F8F">
        <w:rPr>
          <w:sz w:val="22"/>
          <w:szCs w:val="22"/>
        </w:rPr>
        <w:t xml:space="preserve">Perkins Eastman led the design of McKelvey Hall working closely with St. Louis-based Patterhn Ives as associate architect and WashU’s Facilities Planning &amp; Management. </w:t>
      </w:r>
      <w:r w:rsidR="00410F8F" w:rsidRPr="00410F8F">
        <w:rPr>
          <w:sz w:val="22"/>
          <w:szCs w:val="22"/>
        </w:rPr>
        <w:t>As the new home of the Department of Computer Science &amp; Engineering, McKelvey Hall was designed to be 30% more efficient than a standard building</w:t>
      </w:r>
      <w:r w:rsidR="006162CD">
        <w:rPr>
          <w:sz w:val="22"/>
          <w:szCs w:val="22"/>
        </w:rPr>
        <w:t>.</w:t>
      </w:r>
      <w:r w:rsidR="00AE6294">
        <w:rPr>
          <w:sz w:val="22"/>
          <w:szCs w:val="22"/>
        </w:rPr>
        <w:t xml:space="preserve"> It is on track </w:t>
      </w:r>
      <w:r w:rsidR="00AE6294" w:rsidRPr="00410F8F">
        <w:rPr>
          <w:sz w:val="22"/>
          <w:szCs w:val="22"/>
        </w:rPr>
        <w:t>to achieve LEED</w:t>
      </w:r>
      <w:r w:rsidR="00AE6294" w:rsidRPr="00410F8F">
        <w:rPr>
          <w:sz w:val="22"/>
          <w:szCs w:val="22"/>
          <w:vertAlign w:val="superscript"/>
        </w:rPr>
        <w:t>®</w:t>
      </w:r>
      <w:r w:rsidR="00AE6294" w:rsidRPr="00410F8F">
        <w:rPr>
          <w:sz w:val="22"/>
          <w:szCs w:val="22"/>
        </w:rPr>
        <w:t xml:space="preserve"> v4 Gold certification or higher through the U.S. Green Building Council.</w:t>
      </w:r>
    </w:p>
    <w:p w14:paraId="6CF492C8" w14:textId="77777777" w:rsidR="00410F8F" w:rsidRDefault="00410F8F" w:rsidP="00BD7AEF">
      <w:pPr>
        <w:contextualSpacing/>
        <w:rPr>
          <w:sz w:val="22"/>
          <w:szCs w:val="22"/>
        </w:rPr>
      </w:pPr>
    </w:p>
    <w:p w14:paraId="7574E4F7" w14:textId="61CFA1AC" w:rsidR="00FB2D7A" w:rsidRPr="00410F8F" w:rsidRDefault="00FB2D7A" w:rsidP="00BD7AEF">
      <w:pPr>
        <w:contextualSpacing/>
        <w:rPr>
          <w:sz w:val="22"/>
          <w:szCs w:val="22"/>
        </w:rPr>
      </w:pPr>
      <w:r w:rsidRPr="00410F8F">
        <w:rPr>
          <w:sz w:val="22"/>
          <w:szCs w:val="22"/>
        </w:rPr>
        <w:t>The project team followed an integrated design process incorporating the principles of sustainable design with attention to energy efficiency, low-impact materials, reuse and recycling, quality and durability, and health and wellness.</w:t>
      </w:r>
      <w:r w:rsidR="00410F8F">
        <w:rPr>
          <w:sz w:val="22"/>
          <w:szCs w:val="22"/>
        </w:rPr>
        <w:t xml:space="preserve"> </w:t>
      </w:r>
      <w:r w:rsidRPr="00410F8F">
        <w:rPr>
          <w:sz w:val="22"/>
          <w:szCs w:val="22"/>
        </w:rPr>
        <w:t>Every material selected for McKelvey Hall was screened against a multitude of variables, including LEED v4 requirements, Red List chemicals, healthcare-level standards outlined in the Healthier Hospitals Initiative and the WELL Building Standard</w:t>
      </w:r>
      <w:r w:rsidR="00D74E63" w:rsidRPr="00410F8F">
        <w:rPr>
          <w:sz w:val="22"/>
          <w:szCs w:val="22"/>
          <w:vertAlign w:val="superscript"/>
        </w:rPr>
        <w:t>™</w:t>
      </w:r>
      <w:r w:rsidRPr="00410F8F">
        <w:rPr>
          <w:sz w:val="22"/>
          <w:szCs w:val="22"/>
        </w:rPr>
        <w:t>.</w:t>
      </w:r>
    </w:p>
    <w:p w14:paraId="2080C5E1" w14:textId="77777777" w:rsidR="00FB2D7A" w:rsidRPr="00410F8F" w:rsidRDefault="00FB2D7A" w:rsidP="00BD7AEF">
      <w:pPr>
        <w:contextualSpacing/>
        <w:rPr>
          <w:sz w:val="22"/>
          <w:szCs w:val="22"/>
        </w:rPr>
      </w:pPr>
    </w:p>
    <w:p w14:paraId="71BAF416" w14:textId="2DD9349F" w:rsidR="00AE6294" w:rsidRPr="00AE6294" w:rsidRDefault="003B44EE" w:rsidP="00BD7AEF">
      <w:pPr>
        <w:contextualSpacing/>
        <w:rPr>
          <w:b/>
          <w:bCs/>
          <w:i/>
          <w:iCs/>
          <w:sz w:val="22"/>
          <w:szCs w:val="22"/>
        </w:rPr>
      </w:pPr>
      <w:r>
        <w:rPr>
          <w:b/>
          <w:bCs/>
          <w:i/>
          <w:iCs/>
          <w:sz w:val="22"/>
          <w:szCs w:val="22"/>
        </w:rPr>
        <w:t>Looking Forward</w:t>
      </w:r>
    </w:p>
    <w:p w14:paraId="498FB801" w14:textId="04DBBD0D" w:rsidR="00517EF2" w:rsidRPr="00410F8F" w:rsidRDefault="00FB2D7A" w:rsidP="00BD7AEF">
      <w:pPr>
        <w:contextualSpacing/>
        <w:rPr>
          <w:sz w:val="22"/>
          <w:szCs w:val="22"/>
        </w:rPr>
      </w:pPr>
      <w:r w:rsidRPr="00410F8F">
        <w:rPr>
          <w:sz w:val="22"/>
          <w:szCs w:val="22"/>
        </w:rPr>
        <w:t>McKelvey Hall’s</w:t>
      </w:r>
      <w:r w:rsidR="00E24BD7" w:rsidRPr="00410F8F">
        <w:rPr>
          <w:sz w:val="22"/>
          <w:szCs w:val="22"/>
        </w:rPr>
        <w:t xml:space="preserve"> </w:t>
      </w:r>
      <w:r w:rsidR="001549A5" w:rsidRPr="00410F8F">
        <w:rPr>
          <w:sz w:val="22"/>
          <w:szCs w:val="22"/>
        </w:rPr>
        <w:t>three</w:t>
      </w:r>
      <w:r w:rsidRPr="00410F8F">
        <w:rPr>
          <w:sz w:val="22"/>
          <w:szCs w:val="22"/>
        </w:rPr>
        <w:t xml:space="preserve">-story </w:t>
      </w:r>
      <w:r w:rsidR="00E24BD7" w:rsidRPr="00410F8F">
        <w:rPr>
          <w:sz w:val="22"/>
          <w:szCs w:val="22"/>
        </w:rPr>
        <w:t xml:space="preserve">structure respects </w:t>
      </w:r>
      <w:r w:rsidR="00F14FB0" w:rsidRPr="00410F8F">
        <w:rPr>
          <w:sz w:val="22"/>
          <w:szCs w:val="22"/>
        </w:rPr>
        <w:t xml:space="preserve">WashU’s </w:t>
      </w:r>
      <w:r w:rsidR="00E24BD7" w:rsidRPr="00410F8F">
        <w:rPr>
          <w:sz w:val="22"/>
          <w:szCs w:val="22"/>
        </w:rPr>
        <w:t>architectural legacy by incorporating Missouri red granite and limestone masonry</w:t>
      </w:r>
      <w:r w:rsidR="00517EF2" w:rsidRPr="00410F8F">
        <w:rPr>
          <w:sz w:val="22"/>
          <w:szCs w:val="22"/>
        </w:rPr>
        <w:t xml:space="preserve">. </w:t>
      </w:r>
      <w:r w:rsidR="00571E2C" w:rsidRPr="00410F8F">
        <w:rPr>
          <w:sz w:val="22"/>
          <w:szCs w:val="22"/>
        </w:rPr>
        <w:t>Bridging the Collegiate Gothic style reminiscent of European universities and carry</w:t>
      </w:r>
      <w:r w:rsidR="00F14FB0" w:rsidRPr="00410F8F">
        <w:rPr>
          <w:sz w:val="22"/>
          <w:szCs w:val="22"/>
        </w:rPr>
        <w:t>ing</w:t>
      </w:r>
      <w:r w:rsidR="00571E2C" w:rsidRPr="00410F8F">
        <w:rPr>
          <w:sz w:val="22"/>
          <w:szCs w:val="22"/>
        </w:rPr>
        <w:t xml:space="preserve"> the campus forward</w:t>
      </w:r>
      <w:r w:rsidR="00517EF2" w:rsidRPr="00410F8F">
        <w:rPr>
          <w:sz w:val="22"/>
          <w:szCs w:val="22"/>
        </w:rPr>
        <w:t>,</w:t>
      </w:r>
      <w:r w:rsidR="00E24BD7" w:rsidRPr="00410F8F">
        <w:rPr>
          <w:sz w:val="22"/>
          <w:szCs w:val="22"/>
        </w:rPr>
        <w:t xml:space="preserve"> the modern aluminum-framed glass façade</w:t>
      </w:r>
      <w:r w:rsidR="00517EF2" w:rsidRPr="00410F8F">
        <w:rPr>
          <w:sz w:val="22"/>
          <w:szCs w:val="22"/>
        </w:rPr>
        <w:t xml:space="preserve"> </w:t>
      </w:r>
      <w:r w:rsidRPr="00410F8F">
        <w:rPr>
          <w:sz w:val="22"/>
          <w:szCs w:val="22"/>
        </w:rPr>
        <w:t>serve</w:t>
      </w:r>
      <w:r w:rsidR="00517EF2" w:rsidRPr="00410F8F">
        <w:rPr>
          <w:sz w:val="22"/>
          <w:szCs w:val="22"/>
        </w:rPr>
        <w:t>s</w:t>
      </w:r>
      <w:r w:rsidRPr="00410F8F">
        <w:rPr>
          <w:sz w:val="22"/>
          <w:szCs w:val="22"/>
        </w:rPr>
        <w:t xml:space="preserve"> as a dramatic window into the school’s innovative, computational research and connect</w:t>
      </w:r>
      <w:r w:rsidR="00517EF2" w:rsidRPr="00410F8F">
        <w:rPr>
          <w:sz w:val="22"/>
          <w:szCs w:val="22"/>
        </w:rPr>
        <w:t>s</w:t>
      </w:r>
      <w:r w:rsidRPr="00410F8F">
        <w:rPr>
          <w:sz w:val="22"/>
          <w:szCs w:val="22"/>
        </w:rPr>
        <w:t xml:space="preserve"> students with views of the surrounding campus.</w:t>
      </w:r>
    </w:p>
    <w:p w14:paraId="0362DEB6" w14:textId="77777777" w:rsidR="00517EF2" w:rsidRPr="00410F8F" w:rsidRDefault="00517EF2" w:rsidP="00BD7AEF">
      <w:pPr>
        <w:contextualSpacing/>
        <w:rPr>
          <w:sz w:val="22"/>
          <w:szCs w:val="22"/>
        </w:rPr>
      </w:pPr>
    </w:p>
    <w:p w14:paraId="495A40A6" w14:textId="5CF29295" w:rsidR="00BF5059" w:rsidRPr="00410F8F" w:rsidRDefault="00FB2D7A" w:rsidP="00BD7AEF">
      <w:pPr>
        <w:contextualSpacing/>
        <w:rPr>
          <w:color w:val="000000" w:themeColor="text1"/>
          <w:sz w:val="22"/>
          <w:szCs w:val="22"/>
        </w:rPr>
      </w:pPr>
      <w:r w:rsidRPr="00410F8F">
        <w:rPr>
          <w:sz w:val="22"/>
          <w:szCs w:val="22"/>
        </w:rPr>
        <w:t>To create t</w:t>
      </w:r>
      <w:r w:rsidRPr="00410F8F">
        <w:rPr>
          <w:color w:val="000000" w:themeColor="text1"/>
          <w:sz w:val="22"/>
          <w:szCs w:val="22"/>
        </w:rPr>
        <w:t>he McKelvey Hall’s transparent</w:t>
      </w:r>
      <w:r w:rsidR="00F14FB0" w:rsidRPr="00410F8F">
        <w:rPr>
          <w:color w:val="000000" w:themeColor="text1"/>
          <w:sz w:val="22"/>
          <w:szCs w:val="22"/>
        </w:rPr>
        <w:t xml:space="preserve"> and dramatic</w:t>
      </w:r>
      <w:r w:rsidRPr="00410F8F">
        <w:rPr>
          <w:color w:val="000000" w:themeColor="text1"/>
          <w:sz w:val="22"/>
          <w:szCs w:val="22"/>
        </w:rPr>
        <w:t xml:space="preserve"> elemen</w:t>
      </w:r>
      <w:r w:rsidRPr="000D1ADB">
        <w:rPr>
          <w:color w:val="000000" w:themeColor="text1"/>
          <w:sz w:val="22"/>
          <w:szCs w:val="22"/>
        </w:rPr>
        <w:t>ts,</w:t>
      </w:r>
      <w:r w:rsidR="00D315ED" w:rsidRPr="000D1ADB">
        <w:rPr>
          <w:color w:val="000000" w:themeColor="text1"/>
          <w:sz w:val="22"/>
          <w:szCs w:val="22"/>
        </w:rPr>
        <w:t xml:space="preserve"> ARCHON provided </w:t>
      </w:r>
      <w:r w:rsidR="001549A5" w:rsidRPr="000D1ADB">
        <w:rPr>
          <w:color w:val="000000" w:themeColor="text1"/>
          <w:sz w:val="22"/>
          <w:szCs w:val="22"/>
        </w:rPr>
        <w:t>Tubelite’s</w:t>
      </w:r>
      <w:r w:rsidR="001549A5" w:rsidRPr="00410F8F">
        <w:rPr>
          <w:color w:val="000000" w:themeColor="text1"/>
          <w:sz w:val="22"/>
          <w:szCs w:val="22"/>
        </w:rPr>
        <w:t xml:space="preserve"> Therml=Block</w:t>
      </w:r>
      <w:r w:rsidR="001549A5" w:rsidRPr="00410F8F">
        <w:rPr>
          <w:color w:val="000000" w:themeColor="text1"/>
          <w:sz w:val="22"/>
          <w:szCs w:val="22"/>
          <w:vertAlign w:val="superscript"/>
        </w:rPr>
        <w:t>™</w:t>
      </w:r>
      <w:r w:rsidR="00D315ED" w:rsidRPr="00410F8F">
        <w:rPr>
          <w:color w:val="000000" w:themeColor="text1"/>
          <w:sz w:val="22"/>
          <w:szCs w:val="22"/>
        </w:rPr>
        <w:t xml:space="preserve"> 900RW </w:t>
      </w:r>
      <w:r w:rsidR="00BF5059" w:rsidRPr="00410F8F">
        <w:rPr>
          <w:color w:val="000000" w:themeColor="text1"/>
          <w:sz w:val="22"/>
          <w:szCs w:val="22"/>
        </w:rPr>
        <w:t>Series T</w:t>
      </w:r>
      <w:r w:rsidR="00DF3CBF" w:rsidRPr="00410F8F">
        <w:rPr>
          <w:color w:val="000000" w:themeColor="text1"/>
          <w:sz w:val="22"/>
          <w:szCs w:val="22"/>
        </w:rPr>
        <w:t>hermal Window Wall</w:t>
      </w:r>
      <w:r w:rsidR="00D315ED" w:rsidRPr="00410F8F">
        <w:rPr>
          <w:color w:val="000000" w:themeColor="text1"/>
          <w:sz w:val="22"/>
          <w:szCs w:val="22"/>
        </w:rPr>
        <w:t xml:space="preserve">, and 400T </w:t>
      </w:r>
      <w:r w:rsidR="00BF5059" w:rsidRPr="00410F8F">
        <w:rPr>
          <w:color w:val="000000" w:themeColor="text1"/>
          <w:sz w:val="22"/>
          <w:szCs w:val="22"/>
        </w:rPr>
        <w:t xml:space="preserve">Series </w:t>
      </w:r>
      <w:r w:rsidR="00DF3CBF" w:rsidRPr="00410F8F">
        <w:rPr>
          <w:color w:val="000000" w:themeColor="text1"/>
          <w:sz w:val="22"/>
          <w:szCs w:val="22"/>
        </w:rPr>
        <w:t>Thermal C</w:t>
      </w:r>
      <w:r w:rsidR="00D315ED" w:rsidRPr="00410F8F">
        <w:rPr>
          <w:color w:val="000000" w:themeColor="text1"/>
          <w:sz w:val="22"/>
          <w:szCs w:val="22"/>
        </w:rPr>
        <w:t xml:space="preserve">urtainwall and </w:t>
      </w:r>
      <w:r w:rsidR="003C409D" w:rsidRPr="00410F8F">
        <w:rPr>
          <w:color w:val="000000" w:themeColor="text1"/>
          <w:sz w:val="22"/>
          <w:szCs w:val="22"/>
        </w:rPr>
        <w:t>w</w:t>
      </w:r>
      <w:r w:rsidR="00D315ED" w:rsidRPr="00410F8F">
        <w:rPr>
          <w:color w:val="000000" w:themeColor="text1"/>
          <w:sz w:val="22"/>
          <w:szCs w:val="22"/>
        </w:rPr>
        <w:t xml:space="preserve">ide </w:t>
      </w:r>
      <w:r w:rsidR="003C409D" w:rsidRPr="00410F8F">
        <w:rPr>
          <w:color w:val="000000" w:themeColor="text1"/>
          <w:sz w:val="22"/>
          <w:szCs w:val="22"/>
        </w:rPr>
        <w:t>s</w:t>
      </w:r>
      <w:r w:rsidR="00D315ED" w:rsidRPr="00410F8F">
        <w:rPr>
          <w:color w:val="000000" w:themeColor="text1"/>
          <w:sz w:val="22"/>
          <w:szCs w:val="22"/>
        </w:rPr>
        <w:t xml:space="preserve">tile </w:t>
      </w:r>
      <w:r w:rsidR="003C409D" w:rsidRPr="00410F8F">
        <w:rPr>
          <w:color w:val="000000" w:themeColor="text1"/>
          <w:sz w:val="22"/>
          <w:szCs w:val="22"/>
        </w:rPr>
        <w:t>d</w:t>
      </w:r>
      <w:r w:rsidR="00D315ED" w:rsidRPr="00410F8F">
        <w:rPr>
          <w:color w:val="000000" w:themeColor="text1"/>
          <w:sz w:val="22"/>
          <w:szCs w:val="22"/>
        </w:rPr>
        <w:t xml:space="preserve">oors for the hall’s entrance area. </w:t>
      </w:r>
      <w:r w:rsidRPr="00410F8F">
        <w:rPr>
          <w:color w:val="000000" w:themeColor="text1"/>
          <w:sz w:val="22"/>
          <w:szCs w:val="22"/>
        </w:rPr>
        <w:t xml:space="preserve">Wausau </w:t>
      </w:r>
      <w:r w:rsidR="00D315ED" w:rsidRPr="00410F8F">
        <w:rPr>
          <w:color w:val="000000" w:themeColor="text1"/>
          <w:sz w:val="22"/>
          <w:szCs w:val="22"/>
        </w:rPr>
        <w:t>supplied</w:t>
      </w:r>
      <w:r w:rsidR="006F29EF" w:rsidRPr="00410F8F">
        <w:rPr>
          <w:color w:val="000000" w:themeColor="text1"/>
          <w:sz w:val="22"/>
          <w:szCs w:val="22"/>
        </w:rPr>
        <w:t xml:space="preserve"> additional</w:t>
      </w:r>
      <w:r w:rsidRPr="00410F8F">
        <w:rPr>
          <w:color w:val="000000" w:themeColor="text1"/>
          <w:sz w:val="22"/>
          <w:szCs w:val="22"/>
        </w:rPr>
        <w:t xml:space="preserve"> unitized curtainwall glazed with Viracon’s VNE24-63 glass.</w:t>
      </w:r>
    </w:p>
    <w:p w14:paraId="0BA741CC" w14:textId="64017103" w:rsidR="00BF5059" w:rsidRDefault="00BF5059" w:rsidP="00BD7AEF">
      <w:pPr>
        <w:contextualSpacing/>
        <w:rPr>
          <w:color w:val="000000" w:themeColor="text1"/>
          <w:sz w:val="22"/>
          <w:szCs w:val="22"/>
        </w:rPr>
      </w:pPr>
    </w:p>
    <w:p w14:paraId="4F8DB218" w14:textId="77777777" w:rsidR="000D1ADB" w:rsidRDefault="000D1ADB" w:rsidP="00BD7AEF">
      <w:pPr>
        <w:contextualSpacing/>
        <w:rPr>
          <w:sz w:val="22"/>
          <w:szCs w:val="22"/>
        </w:rPr>
      </w:pPr>
      <w:r w:rsidRPr="003B5BC0">
        <w:rPr>
          <w:sz w:val="22"/>
          <w:szCs w:val="22"/>
        </w:rPr>
        <w:t>Ensuring WashU’s and the architectural team’s expectations were met, a full-size, finished mock-up was prepared for approval prior to installation.</w:t>
      </w:r>
    </w:p>
    <w:p w14:paraId="26596BEA" w14:textId="77777777" w:rsidR="000D1ADB" w:rsidRPr="00410F8F" w:rsidRDefault="000D1ADB" w:rsidP="00BD7AEF">
      <w:pPr>
        <w:contextualSpacing/>
        <w:rPr>
          <w:color w:val="000000" w:themeColor="text1"/>
          <w:sz w:val="22"/>
          <w:szCs w:val="22"/>
        </w:rPr>
      </w:pPr>
    </w:p>
    <w:p w14:paraId="3215427D" w14:textId="0D69EDFC" w:rsidR="00E7009E" w:rsidRPr="00AE7D15" w:rsidRDefault="00E7009E" w:rsidP="00BD7AEF">
      <w:pPr>
        <w:jc w:val="right"/>
        <w:rPr>
          <w:i/>
          <w:iCs/>
          <w:color w:val="000000" w:themeColor="text1"/>
          <w:sz w:val="18"/>
          <w:szCs w:val="18"/>
        </w:rPr>
      </w:pPr>
      <w:r>
        <w:rPr>
          <w:i/>
          <w:iCs/>
          <w:color w:val="000000" w:themeColor="text1"/>
          <w:sz w:val="18"/>
          <w:szCs w:val="18"/>
        </w:rPr>
        <w:t>(more)</w:t>
      </w:r>
      <w:r w:rsidRPr="00AE7D15">
        <w:rPr>
          <w:i/>
          <w:iCs/>
          <w:color w:val="000000" w:themeColor="text1"/>
          <w:sz w:val="18"/>
          <w:szCs w:val="18"/>
        </w:rPr>
        <w:br w:type="page"/>
      </w:r>
    </w:p>
    <w:p w14:paraId="4F7C3BE4" w14:textId="14174714" w:rsidR="002A5614" w:rsidRPr="00AE6294" w:rsidRDefault="002A5614" w:rsidP="00BD7AEF">
      <w:pPr>
        <w:contextualSpacing/>
        <w:rPr>
          <w:b/>
          <w:bCs/>
          <w:i/>
          <w:iCs/>
          <w:sz w:val="22"/>
          <w:szCs w:val="22"/>
        </w:rPr>
      </w:pPr>
      <w:r>
        <w:rPr>
          <w:b/>
          <w:bCs/>
          <w:i/>
          <w:iCs/>
          <w:sz w:val="22"/>
          <w:szCs w:val="22"/>
        </w:rPr>
        <w:lastRenderedPageBreak/>
        <w:t>Energy-Efficient Elements</w:t>
      </w:r>
    </w:p>
    <w:p w14:paraId="69C1B7E2" w14:textId="77777777" w:rsidR="000D1ADB" w:rsidRDefault="002A5614" w:rsidP="00BD7AEF">
      <w:pPr>
        <w:contextualSpacing/>
        <w:rPr>
          <w:color w:val="000000" w:themeColor="text1"/>
          <w:sz w:val="22"/>
          <w:szCs w:val="22"/>
        </w:rPr>
      </w:pPr>
      <w:r>
        <w:rPr>
          <w:color w:val="000000" w:themeColor="text1"/>
          <w:sz w:val="22"/>
          <w:szCs w:val="22"/>
        </w:rPr>
        <w:t>Helping a</w:t>
      </w:r>
      <w:r w:rsidR="00FB2D7A" w:rsidRPr="00410F8F">
        <w:rPr>
          <w:color w:val="000000" w:themeColor="text1"/>
          <w:sz w:val="22"/>
          <w:szCs w:val="22"/>
        </w:rPr>
        <w:t>chiev</w:t>
      </w:r>
      <w:r>
        <w:rPr>
          <w:color w:val="000000" w:themeColor="text1"/>
          <w:sz w:val="22"/>
          <w:szCs w:val="22"/>
        </w:rPr>
        <w:t>e</w:t>
      </w:r>
      <w:r w:rsidR="00FB2D7A" w:rsidRPr="00410F8F">
        <w:rPr>
          <w:color w:val="000000" w:themeColor="text1"/>
          <w:sz w:val="22"/>
          <w:szCs w:val="22"/>
        </w:rPr>
        <w:t xml:space="preserve"> the building’s energy-efficiency criteria, Tubelite’s </w:t>
      </w:r>
      <w:r w:rsidR="00D315ED" w:rsidRPr="00410F8F">
        <w:rPr>
          <w:color w:val="000000" w:themeColor="text1"/>
          <w:sz w:val="22"/>
          <w:szCs w:val="22"/>
        </w:rPr>
        <w:t xml:space="preserve">and Wausau’s </w:t>
      </w:r>
      <w:r w:rsidR="00FB2D7A" w:rsidRPr="00410F8F">
        <w:rPr>
          <w:color w:val="000000" w:themeColor="text1"/>
          <w:sz w:val="22"/>
          <w:szCs w:val="22"/>
        </w:rPr>
        <w:t>aluminum framing members were thermally broken</w:t>
      </w:r>
      <w:r w:rsidR="00F14FB0" w:rsidRPr="00410F8F">
        <w:rPr>
          <w:color w:val="000000" w:themeColor="text1"/>
          <w:sz w:val="22"/>
          <w:szCs w:val="22"/>
        </w:rPr>
        <w:t>.</w:t>
      </w:r>
      <w:r w:rsidR="00BF5059" w:rsidRPr="00410F8F">
        <w:rPr>
          <w:color w:val="000000" w:themeColor="text1"/>
          <w:sz w:val="22"/>
          <w:szCs w:val="22"/>
        </w:rPr>
        <w:t xml:space="preserve"> </w:t>
      </w:r>
      <w:r w:rsidR="004B59DE" w:rsidRPr="00410F8F">
        <w:rPr>
          <w:color w:val="000000" w:themeColor="text1"/>
          <w:sz w:val="22"/>
          <w:szCs w:val="22"/>
        </w:rPr>
        <w:t xml:space="preserve">Tubelite’s 900RW </w:t>
      </w:r>
      <w:r w:rsidR="00BF5059" w:rsidRPr="00410F8F">
        <w:rPr>
          <w:color w:val="000000" w:themeColor="text1"/>
          <w:sz w:val="22"/>
          <w:szCs w:val="22"/>
        </w:rPr>
        <w:t>single and dual thermal break options allow architects and specifiers to select appropriate thermal performance levels to meet their projects’ requirements.</w:t>
      </w:r>
    </w:p>
    <w:p w14:paraId="05B71D7A" w14:textId="77777777" w:rsidR="000D1ADB" w:rsidRDefault="000D1ADB" w:rsidP="00BD7AEF">
      <w:pPr>
        <w:contextualSpacing/>
        <w:rPr>
          <w:color w:val="000000" w:themeColor="text1"/>
          <w:sz w:val="22"/>
          <w:szCs w:val="22"/>
        </w:rPr>
      </w:pPr>
    </w:p>
    <w:p w14:paraId="1FC2CF9C" w14:textId="2F40CD3A" w:rsidR="001549A5" w:rsidRPr="000D1ADB" w:rsidRDefault="001549A5" w:rsidP="00BD7AEF">
      <w:pPr>
        <w:contextualSpacing/>
        <w:rPr>
          <w:color w:val="000000" w:themeColor="text1"/>
          <w:sz w:val="22"/>
          <w:szCs w:val="22"/>
        </w:rPr>
      </w:pPr>
      <w:r w:rsidRPr="00410F8F">
        <w:rPr>
          <w:sz w:val="22"/>
          <w:szCs w:val="22"/>
        </w:rPr>
        <w:t xml:space="preserve">“Designed for clerestory and </w:t>
      </w:r>
      <w:r w:rsidR="00DF3CBF" w:rsidRPr="00410F8F">
        <w:rPr>
          <w:sz w:val="22"/>
          <w:szCs w:val="22"/>
        </w:rPr>
        <w:t>ribbon</w:t>
      </w:r>
      <w:r w:rsidRPr="00410F8F">
        <w:rPr>
          <w:sz w:val="22"/>
          <w:szCs w:val="22"/>
        </w:rPr>
        <w:t xml:space="preserve"> window applications in low- to mid-rise commercial buildings, </w:t>
      </w:r>
      <w:r w:rsidR="00571E2C" w:rsidRPr="00410F8F">
        <w:rPr>
          <w:sz w:val="22"/>
          <w:szCs w:val="22"/>
        </w:rPr>
        <w:t xml:space="preserve">Tubelite’s </w:t>
      </w:r>
      <w:r w:rsidRPr="00410F8F">
        <w:rPr>
          <w:sz w:val="22"/>
          <w:szCs w:val="22"/>
        </w:rPr>
        <w:t>900RW window</w:t>
      </w:r>
      <w:r w:rsidR="00DF3CBF" w:rsidRPr="00410F8F">
        <w:rPr>
          <w:sz w:val="22"/>
          <w:szCs w:val="22"/>
        </w:rPr>
        <w:t xml:space="preserve"> wall</w:t>
      </w:r>
      <w:r w:rsidRPr="00410F8F">
        <w:rPr>
          <w:sz w:val="22"/>
          <w:szCs w:val="22"/>
        </w:rPr>
        <w:t xml:space="preserve"> save</w:t>
      </w:r>
      <w:r w:rsidR="00DF3CBF" w:rsidRPr="00410F8F">
        <w:rPr>
          <w:sz w:val="22"/>
          <w:szCs w:val="22"/>
        </w:rPr>
        <w:t>s</w:t>
      </w:r>
      <w:r w:rsidRPr="00410F8F">
        <w:rPr>
          <w:sz w:val="22"/>
          <w:szCs w:val="22"/>
        </w:rPr>
        <w:t xml:space="preserve"> installation time and labor, while meeting model energy codes and supporting LEED certification,” said</w:t>
      </w:r>
      <w:r w:rsidR="00571E2C" w:rsidRPr="00410F8F">
        <w:rPr>
          <w:sz w:val="22"/>
          <w:szCs w:val="22"/>
        </w:rPr>
        <w:t xml:space="preserve"> </w:t>
      </w:r>
      <w:r w:rsidR="00B4788E">
        <w:rPr>
          <w:sz w:val="22"/>
          <w:szCs w:val="22"/>
        </w:rPr>
        <w:t xml:space="preserve">Tubelite’s </w:t>
      </w:r>
      <w:r w:rsidR="00B4788E" w:rsidRPr="00F00764">
        <w:rPr>
          <w:color w:val="000000" w:themeColor="text1"/>
          <w:sz w:val="22"/>
          <w:szCs w:val="22"/>
        </w:rPr>
        <w:t>senior manager of product strategy</w:t>
      </w:r>
      <w:r w:rsidR="00B4788E">
        <w:rPr>
          <w:color w:val="000000" w:themeColor="text1"/>
          <w:sz w:val="22"/>
          <w:szCs w:val="22"/>
        </w:rPr>
        <w:t xml:space="preserve">, </w:t>
      </w:r>
      <w:r w:rsidR="00B4788E">
        <w:rPr>
          <w:sz w:val="22"/>
          <w:szCs w:val="22"/>
        </w:rPr>
        <w:t>Brian Tobias, LEED AP</w:t>
      </w:r>
      <w:r w:rsidR="00571E2C" w:rsidRPr="00410F8F">
        <w:rPr>
          <w:sz w:val="22"/>
          <w:szCs w:val="22"/>
        </w:rPr>
        <w:t xml:space="preserve">. </w:t>
      </w:r>
      <w:r w:rsidR="00F14FB0" w:rsidRPr="00410F8F">
        <w:rPr>
          <w:sz w:val="22"/>
          <w:szCs w:val="22"/>
        </w:rPr>
        <w:t>“</w:t>
      </w:r>
      <w:r w:rsidR="00F14FB0" w:rsidRPr="00410F8F">
        <w:rPr>
          <w:color w:val="000000" w:themeColor="text1"/>
          <w:sz w:val="22"/>
          <w:szCs w:val="22"/>
        </w:rPr>
        <w:t>Tubelite’s Therml=Block</w:t>
      </w:r>
      <w:r w:rsidR="00F14FB0" w:rsidRPr="00410F8F">
        <w:rPr>
          <w:sz w:val="22"/>
          <w:szCs w:val="22"/>
        </w:rPr>
        <w:t xml:space="preserve"> products provide superior energy and condensation resistance performance using multiple thermal barriers, while providing structural integrity and aesthetic flexibility.”</w:t>
      </w:r>
    </w:p>
    <w:p w14:paraId="3DE84CA8" w14:textId="77777777" w:rsidR="004B59DE" w:rsidRPr="00410F8F" w:rsidRDefault="004B59DE" w:rsidP="00BD7AEF">
      <w:pPr>
        <w:contextualSpacing/>
        <w:rPr>
          <w:color w:val="000000" w:themeColor="text1"/>
          <w:sz w:val="22"/>
          <w:szCs w:val="22"/>
        </w:rPr>
      </w:pPr>
    </w:p>
    <w:p w14:paraId="4422323A" w14:textId="77777777" w:rsidR="003C409D" w:rsidRPr="00410F8F" w:rsidRDefault="00BF5059" w:rsidP="00BD7AEF">
      <w:pPr>
        <w:rPr>
          <w:sz w:val="22"/>
          <w:szCs w:val="22"/>
        </w:rPr>
      </w:pPr>
      <w:r w:rsidRPr="00BF5059">
        <w:rPr>
          <w:sz w:val="22"/>
          <w:szCs w:val="22"/>
        </w:rPr>
        <w:t xml:space="preserve">Tubelite’s products are tested per the </w:t>
      </w:r>
      <w:r w:rsidRPr="00410F8F">
        <w:rPr>
          <w:color w:val="000000" w:themeColor="text1"/>
          <w:sz w:val="22"/>
          <w:szCs w:val="22"/>
        </w:rPr>
        <w:t>Fenestration and Glazing Industry Alliance’s AAMA</w:t>
      </w:r>
      <w:r w:rsidRPr="00410F8F">
        <w:rPr>
          <w:sz w:val="22"/>
          <w:szCs w:val="22"/>
        </w:rPr>
        <w:t xml:space="preserve"> </w:t>
      </w:r>
      <w:r w:rsidRPr="00BF5059">
        <w:rPr>
          <w:sz w:val="22"/>
          <w:szCs w:val="22"/>
        </w:rPr>
        <w:t xml:space="preserve">standards for air, water, structural and condensation resistance. They also are tested and modeled for thermal transmittance per the </w:t>
      </w:r>
      <w:r w:rsidRPr="00410F8F">
        <w:rPr>
          <w:color w:val="000000" w:themeColor="text1"/>
          <w:sz w:val="22"/>
          <w:szCs w:val="22"/>
        </w:rPr>
        <w:t xml:space="preserve">National Fenestration </w:t>
      </w:r>
      <w:r w:rsidR="00DF3CBF" w:rsidRPr="00410F8F">
        <w:rPr>
          <w:color w:val="000000" w:themeColor="text1"/>
          <w:sz w:val="22"/>
          <w:szCs w:val="22"/>
        </w:rPr>
        <w:t xml:space="preserve">Rating </w:t>
      </w:r>
      <w:r w:rsidRPr="00410F8F">
        <w:rPr>
          <w:color w:val="000000" w:themeColor="text1"/>
          <w:sz w:val="22"/>
          <w:szCs w:val="22"/>
        </w:rPr>
        <w:t>Council’s</w:t>
      </w:r>
      <w:r w:rsidRPr="00410F8F">
        <w:rPr>
          <w:sz w:val="22"/>
          <w:szCs w:val="22"/>
        </w:rPr>
        <w:t xml:space="preserve"> </w:t>
      </w:r>
      <w:r w:rsidRPr="00BF5059">
        <w:rPr>
          <w:sz w:val="22"/>
          <w:szCs w:val="22"/>
        </w:rPr>
        <w:t>procedures.</w:t>
      </w:r>
    </w:p>
    <w:p w14:paraId="2D766085" w14:textId="77777777" w:rsidR="003C409D" w:rsidRPr="00410F8F" w:rsidRDefault="003C409D" w:rsidP="00BD7AEF">
      <w:pPr>
        <w:rPr>
          <w:sz w:val="22"/>
          <w:szCs w:val="22"/>
        </w:rPr>
      </w:pPr>
    </w:p>
    <w:p w14:paraId="06AF2E9B" w14:textId="2641C51F" w:rsidR="00410F8F" w:rsidRPr="00410F8F" w:rsidRDefault="00DF3CBF" w:rsidP="00BD7AEF">
      <w:pPr>
        <w:rPr>
          <w:sz w:val="22"/>
          <w:szCs w:val="22"/>
        </w:rPr>
      </w:pPr>
      <w:r w:rsidRPr="00410F8F">
        <w:rPr>
          <w:sz w:val="22"/>
          <w:szCs w:val="22"/>
        </w:rPr>
        <w:t xml:space="preserve">“Thorough testing by an independent laboratory ensures the 400T is the highest quality curtainwall framing product the industry has to offer,” </w:t>
      </w:r>
      <w:r w:rsidR="00B4788E">
        <w:rPr>
          <w:sz w:val="22"/>
          <w:szCs w:val="22"/>
        </w:rPr>
        <w:t>Tobias</w:t>
      </w:r>
      <w:r w:rsidRPr="00410F8F">
        <w:rPr>
          <w:sz w:val="22"/>
          <w:szCs w:val="22"/>
        </w:rPr>
        <w:t xml:space="preserve"> added.</w:t>
      </w:r>
      <w:r w:rsidR="003C409D" w:rsidRPr="00410F8F">
        <w:rPr>
          <w:sz w:val="22"/>
          <w:szCs w:val="22"/>
        </w:rPr>
        <w:t xml:space="preserve"> “Our dependable entrance systems also support smooth, reliable operation in moderate to heavy use applications, such as university buildings. The strength and flexibility of our steel tie-rod construction</w:t>
      </w:r>
      <w:r w:rsidR="00410F8F" w:rsidRPr="00410F8F">
        <w:rPr>
          <w:sz w:val="22"/>
          <w:szCs w:val="22"/>
        </w:rPr>
        <w:t xml:space="preserve"> allow installation professionals to easily modify, disassemble or resize them at the jobsite, helping complete projects more quickly.”</w:t>
      </w:r>
    </w:p>
    <w:p w14:paraId="6EB9F743" w14:textId="77777777" w:rsidR="00BF5059" w:rsidRPr="00410F8F" w:rsidRDefault="00BF5059" w:rsidP="00BD7AEF">
      <w:pPr>
        <w:contextualSpacing/>
        <w:rPr>
          <w:sz w:val="22"/>
          <w:szCs w:val="22"/>
        </w:rPr>
      </w:pPr>
    </w:p>
    <w:p w14:paraId="70FA4D85" w14:textId="30CFCF4B" w:rsidR="002A5614" w:rsidRDefault="003B44EE" w:rsidP="00BD7AEF">
      <w:pPr>
        <w:contextualSpacing/>
        <w:rPr>
          <w:b/>
          <w:bCs/>
          <w:i/>
          <w:iCs/>
          <w:color w:val="000000" w:themeColor="text1"/>
          <w:sz w:val="22"/>
          <w:szCs w:val="22"/>
        </w:rPr>
      </w:pPr>
      <w:r>
        <w:rPr>
          <w:b/>
          <w:bCs/>
          <w:i/>
          <w:iCs/>
          <w:color w:val="000000" w:themeColor="text1"/>
          <w:sz w:val="22"/>
          <w:szCs w:val="22"/>
        </w:rPr>
        <w:t>Natural Light and Shading</w:t>
      </w:r>
    </w:p>
    <w:p w14:paraId="46513EBC" w14:textId="0C3BE62F" w:rsidR="00FB2D7A" w:rsidRPr="00F14FB0" w:rsidRDefault="003C409D" w:rsidP="00BD7AEF">
      <w:pPr>
        <w:contextualSpacing/>
        <w:rPr>
          <w:sz w:val="22"/>
          <w:szCs w:val="22"/>
        </w:rPr>
      </w:pPr>
      <w:r w:rsidRPr="00410F8F">
        <w:rPr>
          <w:color w:val="000000" w:themeColor="text1"/>
          <w:sz w:val="22"/>
          <w:szCs w:val="22"/>
        </w:rPr>
        <w:t>Further enhancing performance</w:t>
      </w:r>
      <w:r w:rsidR="00FB2D7A" w:rsidRPr="00410F8F">
        <w:rPr>
          <w:color w:val="000000" w:themeColor="text1"/>
          <w:sz w:val="22"/>
          <w:szCs w:val="22"/>
        </w:rPr>
        <w:t xml:space="preserve"> and keep</w:t>
      </w:r>
      <w:r w:rsidRPr="00410F8F">
        <w:rPr>
          <w:color w:val="000000" w:themeColor="text1"/>
          <w:sz w:val="22"/>
          <w:szCs w:val="22"/>
        </w:rPr>
        <w:t>ing</w:t>
      </w:r>
      <w:r w:rsidR="00FB2D7A" w:rsidRPr="00410F8F">
        <w:rPr>
          <w:color w:val="000000" w:themeColor="text1"/>
          <w:sz w:val="22"/>
          <w:szCs w:val="22"/>
        </w:rPr>
        <w:t xml:space="preserve"> occupants comfortable, Viracon’s high</w:t>
      </w:r>
      <w:r w:rsidR="00FB2D7A" w:rsidRPr="00BF5059">
        <w:rPr>
          <w:color w:val="000000" w:themeColor="text1"/>
          <w:sz w:val="22"/>
          <w:szCs w:val="22"/>
        </w:rPr>
        <w:t>-performance ultr</w:t>
      </w:r>
      <w:r w:rsidR="00FB2D7A" w:rsidRPr="00F14FB0">
        <w:rPr>
          <w:color w:val="000000" w:themeColor="text1"/>
          <w:sz w:val="22"/>
          <w:szCs w:val="22"/>
        </w:rPr>
        <w:t xml:space="preserve">a-clear </w:t>
      </w:r>
      <w:r w:rsidR="00FB2D7A" w:rsidRPr="00F14FB0">
        <w:rPr>
          <w:sz w:val="22"/>
          <w:szCs w:val="22"/>
        </w:rPr>
        <w:t>glass was paired with Wausau’s vertical and horizontal sun shades plus custom shadowboxes. The exterior shading devices were engineered as integral components with the curtainwall, as were the interior 24-inch-deep light shelves that maximize daylight more deeply into the facility’s interior.</w:t>
      </w:r>
    </w:p>
    <w:p w14:paraId="35E09F9E" w14:textId="77777777" w:rsidR="00FB2D7A" w:rsidRPr="00F14FB0" w:rsidRDefault="00FB2D7A" w:rsidP="00BD7AEF">
      <w:pPr>
        <w:contextualSpacing/>
        <w:rPr>
          <w:sz w:val="22"/>
          <w:szCs w:val="22"/>
        </w:rPr>
      </w:pPr>
    </w:p>
    <w:p w14:paraId="05584AC4" w14:textId="537B8A86" w:rsidR="00FB2D7A" w:rsidRDefault="00FB2D7A" w:rsidP="00BD7AEF">
      <w:pPr>
        <w:contextualSpacing/>
        <w:rPr>
          <w:sz w:val="22"/>
          <w:szCs w:val="22"/>
        </w:rPr>
      </w:pPr>
      <w:r w:rsidRPr="00F14FB0">
        <w:rPr>
          <w:sz w:val="22"/>
          <w:szCs w:val="22"/>
        </w:rPr>
        <w:t>“With attention to solar orientation and shading, ample natural light, high-performance façade design, and energy efficiency, the building promotes student productivity and well-being campus-wide,” noted Perkins Eastman.</w:t>
      </w:r>
    </w:p>
    <w:p w14:paraId="457E2B0B" w14:textId="14462236" w:rsidR="000D1ADB" w:rsidRDefault="000D1ADB" w:rsidP="00BD7AEF">
      <w:pPr>
        <w:contextualSpacing/>
        <w:rPr>
          <w:sz w:val="22"/>
          <w:szCs w:val="22"/>
        </w:rPr>
      </w:pPr>
    </w:p>
    <w:p w14:paraId="36CC78F1" w14:textId="5A289950" w:rsidR="003B44EE" w:rsidRDefault="003B44EE" w:rsidP="00BD7AEF">
      <w:pPr>
        <w:contextualSpacing/>
        <w:rPr>
          <w:b/>
          <w:bCs/>
          <w:i/>
          <w:iCs/>
          <w:color w:val="000000" w:themeColor="text1"/>
          <w:sz w:val="22"/>
          <w:szCs w:val="22"/>
        </w:rPr>
      </w:pPr>
      <w:r>
        <w:rPr>
          <w:b/>
          <w:bCs/>
          <w:i/>
          <w:iCs/>
          <w:color w:val="000000" w:themeColor="text1"/>
          <w:sz w:val="22"/>
          <w:szCs w:val="22"/>
        </w:rPr>
        <w:t>Environmentally Responsible Finishes</w:t>
      </w:r>
    </w:p>
    <w:p w14:paraId="4F65C501" w14:textId="1A14D45C" w:rsidR="00FB2D7A" w:rsidRPr="003B5BC0" w:rsidRDefault="00FB2D7A" w:rsidP="00BD7AEF">
      <w:pPr>
        <w:contextualSpacing/>
        <w:rPr>
          <w:sz w:val="22"/>
          <w:szCs w:val="22"/>
        </w:rPr>
      </w:pPr>
      <w:r w:rsidRPr="00FB2D7A">
        <w:rPr>
          <w:sz w:val="22"/>
          <w:szCs w:val="22"/>
        </w:rPr>
        <w:t xml:space="preserve">Enhancing both the building’s performance and appearance, Linetec provided the thermal improvement and finishing for all of Tubelite’s </w:t>
      </w:r>
      <w:r w:rsidR="00D315ED">
        <w:rPr>
          <w:sz w:val="22"/>
          <w:szCs w:val="22"/>
        </w:rPr>
        <w:t xml:space="preserve">and </w:t>
      </w:r>
      <w:r w:rsidR="00D315ED" w:rsidRPr="00FB2D7A">
        <w:rPr>
          <w:sz w:val="22"/>
          <w:szCs w:val="22"/>
        </w:rPr>
        <w:t xml:space="preserve">Wausau’s </w:t>
      </w:r>
      <w:r w:rsidRPr="00FB2D7A">
        <w:rPr>
          <w:sz w:val="22"/>
          <w:szCs w:val="22"/>
        </w:rPr>
        <w:t xml:space="preserve">aluminum framing, as well as finishing </w:t>
      </w:r>
      <w:r w:rsidRPr="003B5BC0">
        <w:rPr>
          <w:sz w:val="22"/>
          <w:szCs w:val="22"/>
        </w:rPr>
        <w:t>the shading systems and parapet trim. “Amazing Gray” and “Noble Gray” colors were selected and applied using high-performance 70% PVDF resin-based architectural coatings.</w:t>
      </w:r>
    </w:p>
    <w:p w14:paraId="0E438837" w14:textId="77777777" w:rsidR="00FB2D7A" w:rsidRPr="003B5BC0" w:rsidRDefault="00FB2D7A" w:rsidP="00BD7AEF">
      <w:pPr>
        <w:contextualSpacing/>
        <w:rPr>
          <w:sz w:val="22"/>
          <w:szCs w:val="22"/>
        </w:rPr>
      </w:pPr>
    </w:p>
    <w:p w14:paraId="754B14D2" w14:textId="020BE9C9" w:rsidR="003B5BC0" w:rsidRPr="003B5BC0" w:rsidRDefault="0031199A" w:rsidP="00BD7AEF">
      <w:pPr>
        <w:rPr>
          <w:sz w:val="22"/>
          <w:szCs w:val="22"/>
        </w:rPr>
      </w:pPr>
      <w:r>
        <w:rPr>
          <w:sz w:val="22"/>
          <w:szCs w:val="22"/>
        </w:rPr>
        <w:t>T</w:t>
      </w:r>
      <w:r w:rsidRPr="003B5BC0">
        <w:rPr>
          <w:sz w:val="22"/>
          <w:szCs w:val="22"/>
        </w:rPr>
        <w:t>o safely remove the VOCs in the liquid paints’ solvents</w:t>
      </w:r>
      <w:r w:rsidR="003B5BC0" w:rsidRPr="003B5BC0">
        <w:rPr>
          <w:sz w:val="22"/>
          <w:szCs w:val="22"/>
        </w:rPr>
        <w:t>, Linetec uses a 100% air capture system and regenerative thermal oxidizer. By managing this in its quality-controlled facility, there is no adverse environmental impact either at Linetec or on the jobsite.</w:t>
      </w:r>
    </w:p>
    <w:p w14:paraId="2D2CE74C" w14:textId="77777777" w:rsidR="003B5BC0" w:rsidRPr="003B5BC0" w:rsidRDefault="003B5BC0" w:rsidP="00BD7AEF">
      <w:pPr>
        <w:contextualSpacing/>
        <w:rPr>
          <w:sz w:val="22"/>
          <w:szCs w:val="22"/>
        </w:rPr>
      </w:pPr>
    </w:p>
    <w:p w14:paraId="093F6735" w14:textId="77777777" w:rsidR="00E7009E" w:rsidRPr="00AE7D15" w:rsidRDefault="00E7009E" w:rsidP="00BD7AEF">
      <w:pPr>
        <w:jc w:val="right"/>
        <w:rPr>
          <w:i/>
          <w:iCs/>
          <w:color w:val="000000" w:themeColor="text1"/>
          <w:sz w:val="18"/>
          <w:szCs w:val="18"/>
        </w:rPr>
      </w:pPr>
      <w:r>
        <w:rPr>
          <w:i/>
          <w:iCs/>
          <w:color w:val="000000" w:themeColor="text1"/>
          <w:sz w:val="18"/>
          <w:szCs w:val="18"/>
        </w:rPr>
        <w:t>(more)</w:t>
      </w:r>
      <w:r w:rsidRPr="00AE7D15">
        <w:rPr>
          <w:i/>
          <w:iCs/>
          <w:color w:val="000000" w:themeColor="text1"/>
          <w:sz w:val="18"/>
          <w:szCs w:val="18"/>
        </w:rPr>
        <w:br w:type="page"/>
      </w:r>
    </w:p>
    <w:p w14:paraId="6F6B4CBB" w14:textId="77777777" w:rsidR="00E7009E" w:rsidRDefault="00E7009E" w:rsidP="00BD7AEF">
      <w:pPr>
        <w:contextualSpacing/>
        <w:rPr>
          <w:sz w:val="22"/>
          <w:szCs w:val="22"/>
        </w:rPr>
      </w:pPr>
    </w:p>
    <w:p w14:paraId="71780117" w14:textId="77777777" w:rsidR="00E7009E" w:rsidRDefault="00E7009E" w:rsidP="00BD7AEF">
      <w:pPr>
        <w:contextualSpacing/>
        <w:rPr>
          <w:sz w:val="22"/>
          <w:szCs w:val="22"/>
        </w:rPr>
      </w:pPr>
    </w:p>
    <w:p w14:paraId="56A3BF37" w14:textId="026B8272" w:rsidR="003B5BC0" w:rsidRPr="003B5BC0" w:rsidRDefault="003B5BC0" w:rsidP="00BD7AEF">
      <w:pPr>
        <w:contextualSpacing/>
        <w:rPr>
          <w:sz w:val="22"/>
          <w:szCs w:val="22"/>
        </w:rPr>
      </w:pPr>
      <w:r>
        <w:rPr>
          <w:sz w:val="22"/>
          <w:szCs w:val="22"/>
        </w:rPr>
        <w:t xml:space="preserve">For McKelvey Hall, </w:t>
      </w:r>
      <w:r w:rsidRPr="003B5BC0">
        <w:rPr>
          <w:sz w:val="22"/>
          <w:szCs w:val="22"/>
        </w:rPr>
        <w:t>Linetec applied the 70% PVDF resin-based coating to meet AAMA 2605 specification, the most stringent in the industry. Following this standard, these architectural coatings are proven to withstand 4,000 hours of accelerated testing for humidity and salt spray, and resist chalking, gloss loss and chemicals. They also exhibit outstanding color retention and UV-resistance, contributing to university buildings’ cost-effective maintenance.</w:t>
      </w:r>
    </w:p>
    <w:p w14:paraId="7D948A50" w14:textId="77777777" w:rsidR="003B5BC0" w:rsidRPr="003B5BC0" w:rsidRDefault="003B5BC0" w:rsidP="00BD7AEF">
      <w:pPr>
        <w:contextualSpacing/>
        <w:rPr>
          <w:sz w:val="22"/>
          <w:szCs w:val="22"/>
        </w:rPr>
      </w:pPr>
    </w:p>
    <w:p w14:paraId="13DF4FD3" w14:textId="7FE29258" w:rsidR="00FB2D7A" w:rsidRPr="00E7009E" w:rsidRDefault="003B5BC0" w:rsidP="00BD7AEF">
      <w:pPr>
        <w:contextualSpacing/>
        <w:rPr>
          <w:sz w:val="22"/>
          <w:szCs w:val="22"/>
        </w:rPr>
      </w:pPr>
      <w:r w:rsidRPr="003B5BC0">
        <w:rPr>
          <w:sz w:val="22"/>
          <w:szCs w:val="22"/>
        </w:rPr>
        <w:t xml:space="preserve">At the end of their long lifespan on the building, the finished aluminum framing systems can be recycled. </w:t>
      </w:r>
      <w:r w:rsidR="00FB2D7A" w:rsidRPr="003B5BC0">
        <w:rPr>
          <w:sz w:val="22"/>
          <w:szCs w:val="22"/>
        </w:rPr>
        <w:t>Linetec’s environmentally responsible finishing supports LEED, WELL and other sustainable project goals.</w:t>
      </w:r>
    </w:p>
    <w:p w14:paraId="442D63FD" w14:textId="77777777" w:rsidR="0031199A" w:rsidRPr="00E7009E" w:rsidRDefault="0031199A" w:rsidP="00BD7AEF">
      <w:pPr>
        <w:contextualSpacing/>
        <w:rPr>
          <w:sz w:val="22"/>
          <w:szCs w:val="22"/>
        </w:rPr>
      </w:pPr>
    </w:p>
    <w:p w14:paraId="10B0E1D9" w14:textId="16C7C67A" w:rsidR="003B44EE" w:rsidRPr="00E7009E" w:rsidRDefault="003B44EE" w:rsidP="00BD7AEF">
      <w:pPr>
        <w:contextualSpacing/>
        <w:rPr>
          <w:b/>
          <w:bCs/>
          <w:i/>
          <w:iCs/>
          <w:color w:val="000000" w:themeColor="text1"/>
          <w:sz w:val="22"/>
          <w:szCs w:val="22"/>
        </w:rPr>
      </w:pPr>
      <w:r w:rsidRPr="00E7009E">
        <w:rPr>
          <w:b/>
          <w:bCs/>
          <w:i/>
          <w:iCs/>
          <w:color w:val="000000" w:themeColor="text1"/>
          <w:sz w:val="22"/>
          <w:szCs w:val="22"/>
        </w:rPr>
        <w:t>Collaboration and Connection</w:t>
      </w:r>
    </w:p>
    <w:p w14:paraId="0C6BE100" w14:textId="77777777" w:rsidR="00E7009E" w:rsidRPr="00E7009E" w:rsidRDefault="00E7009E" w:rsidP="00BD7AEF">
      <w:pPr>
        <w:contextualSpacing/>
        <w:rPr>
          <w:sz w:val="22"/>
          <w:szCs w:val="22"/>
        </w:rPr>
      </w:pPr>
      <w:r w:rsidRPr="00E7009E">
        <w:rPr>
          <w:sz w:val="22"/>
          <w:szCs w:val="22"/>
        </w:rPr>
        <w:t>Along with meeting WashU’s numerous sustainability and well-being requirements, McKelvey Hall fulfills the school's intellectual vision and academic plan. Named in honor of the dean of the School of Engineering &amp; Applied Science, James M. McKelvey Sr., the new facility was envisioned as a space for interdisciplinary collaboration and high-impact research.</w:t>
      </w:r>
    </w:p>
    <w:p w14:paraId="18077402" w14:textId="77777777" w:rsidR="00E7009E" w:rsidRPr="00E7009E" w:rsidRDefault="00E7009E" w:rsidP="00BD7AEF">
      <w:pPr>
        <w:contextualSpacing/>
        <w:rPr>
          <w:sz w:val="22"/>
          <w:szCs w:val="22"/>
        </w:rPr>
      </w:pPr>
    </w:p>
    <w:p w14:paraId="1933F02E" w14:textId="4B790074" w:rsidR="004938F9" w:rsidRPr="00E7009E" w:rsidRDefault="00E7009E" w:rsidP="00BD7AEF">
      <w:pPr>
        <w:contextualSpacing/>
        <w:rPr>
          <w:sz w:val="22"/>
          <w:szCs w:val="22"/>
        </w:rPr>
      </w:pPr>
      <w:r w:rsidRPr="00E7009E">
        <w:rPr>
          <w:sz w:val="22"/>
          <w:szCs w:val="22"/>
        </w:rPr>
        <w:t>Promoting openness and creating connections, the hall physically links the university’s schools and buildings, while fostering engagement between teachers and students. T</w:t>
      </w:r>
      <w:r w:rsidR="00467285" w:rsidRPr="00E7009E">
        <w:rPr>
          <w:sz w:val="22"/>
          <w:szCs w:val="22"/>
        </w:rPr>
        <w:t>he new building</w:t>
      </w:r>
      <w:r w:rsidR="007A2418" w:rsidRPr="00E7009E">
        <w:rPr>
          <w:sz w:val="22"/>
          <w:szCs w:val="22"/>
        </w:rPr>
        <w:t xml:space="preserve"> includes 19,000 square feet of research space, a café</w:t>
      </w:r>
      <w:r w:rsidR="00467285" w:rsidRPr="00E7009E">
        <w:rPr>
          <w:sz w:val="22"/>
          <w:szCs w:val="22"/>
        </w:rPr>
        <w:t>,</w:t>
      </w:r>
      <w:r w:rsidR="007A2418" w:rsidRPr="00E7009E">
        <w:rPr>
          <w:sz w:val="22"/>
          <w:szCs w:val="22"/>
        </w:rPr>
        <w:t xml:space="preserve"> the Judith Hood McKelvey Commons, faculty and departmental offices, </w:t>
      </w:r>
      <w:r w:rsidR="00467285" w:rsidRPr="00E7009E">
        <w:rPr>
          <w:sz w:val="22"/>
          <w:szCs w:val="22"/>
        </w:rPr>
        <w:t xml:space="preserve">plus </w:t>
      </w:r>
      <w:r w:rsidR="007A2418" w:rsidRPr="00E7009E">
        <w:rPr>
          <w:sz w:val="22"/>
          <w:szCs w:val="22"/>
        </w:rPr>
        <w:t>shell space for future classrooms and research.</w:t>
      </w:r>
    </w:p>
    <w:p w14:paraId="0AD3B576" w14:textId="77777777" w:rsidR="004938F9" w:rsidRPr="00E7009E" w:rsidRDefault="004938F9" w:rsidP="00BD7AEF">
      <w:pPr>
        <w:contextualSpacing/>
        <w:rPr>
          <w:sz w:val="22"/>
          <w:szCs w:val="22"/>
        </w:rPr>
      </w:pPr>
    </w:p>
    <w:p w14:paraId="56F62519" w14:textId="7583AE79" w:rsidR="003B44EE" w:rsidRPr="00E7009E" w:rsidRDefault="003B44EE" w:rsidP="00BD7AEF">
      <w:pPr>
        <w:contextualSpacing/>
        <w:rPr>
          <w:b/>
          <w:bCs/>
          <w:i/>
          <w:iCs/>
          <w:sz w:val="22"/>
          <w:szCs w:val="22"/>
        </w:rPr>
      </w:pPr>
      <w:r w:rsidRPr="00E7009E">
        <w:rPr>
          <w:b/>
          <w:bCs/>
          <w:i/>
          <w:iCs/>
          <w:sz w:val="22"/>
          <w:szCs w:val="22"/>
        </w:rPr>
        <w:t>Recognized Success</w:t>
      </w:r>
    </w:p>
    <w:p w14:paraId="25F43573" w14:textId="596A1D62" w:rsidR="00FB2D7A" w:rsidRPr="00FB2D7A" w:rsidRDefault="00FB2D7A" w:rsidP="00BD7AEF">
      <w:pPr>
        <w:contextualSpacing/>
        <w:rPr>
          <w:sz w:val="22"/>
          <w:szCs w:val="22"/>
        </w:rPr>
      </w:pPr>
      <w:r w:rsidRPr="00E7009E">
        <w:rPr>
          <w:sz w:val="22"/>
          <w:szCs w:val="22"/>
        </w:rPr>
        <w:t>McKelvey Hall was one of six new high-performance buildings totaling 713,000 square feet across</w:t>
      </w:r>
      <w:r w:rsidRPr="00FB2D7A">
        <w:rPr>
          <w:sz w:val="22"/>
          <w:szCs w:val="22"/>
        </w:rPr>
        <w:t xml:space="preserve"> 18 acres that realized WashU’s Danforth Campus East End Transformation. The coordinated campus-wide effort earned a 2021 </w:t>
      </w:r>
      <w:r w:rsidRPr="00D315ED">
        <w:rPr>
          <w:i/>
          <w:iCs/>
          <w:sz w:val="22"/>
          <w:szCs w:val="22"/>
        </w:rPr>
        <w:t>St. Louis Business Journal</w:t>
      </w:r>
      <w:r w:rsidRPr="00FB2D7A">
        <w:rPr>
          <w:sz w:val="22"/>
          <w:szCs w:val="22"/>
        </w:rPr>
        <w:t>: Building STL Award, a 2020 Keystone Award from the American General Contractors (AGC) Missouri chapter and a 2020 national Honor Award for Excellence in Planning from The Society for College and University Planners (SCUP).</w:t>
      </w:r>
    </w:p>
    <w:p w14:paraId="24B343BD" w14:textId="77777777" w:rsidR="00FB2D7A" w:rsidRPr="00FB2D7A" w:rsidRDefault="00FB2D7A" w:rsidP="00BD7AEF">
      <w:pPr>
        <w:contextualSpacing/>
        <w:rPr>
          <w:sz w:val="22"/>
          <w:szCs w:val="22"/>
        </w:rPr>
      </w:pPr>
    </w:p>
    <w:p w14:paraId="0C3A5DAA" w14:textId="77777777" w:rsidR="00FB2D7A" w:rsidRPr="00FB2D7A" w:rsidRDefault="00FB2D7A" w:rsidP="00BD7AEF">
      <w:pPr>
        <w:contextualSpacing/>
        <w:rPr>
          <w:sz w:val="22"/>
          <w:szCs w:val="22"/>
        </w:rPr>
      </w:pPr>
      <w:r w:rsidRPr="00FB2D7A">
        <w:rPr>
          <w:sz w:val="22"/>
          <w:szCs w:val="22"/>
        </w:rPr>
        <w:t>The sweeping East End planning, design and construction project also converted nearly six acres of surface parking into green space, furthering the university’s commitment to sustainability. A greater connection between the city and community is achieved with a reimagined entrance to campus across the street from Forest Park, long considered one of the best urban public parks in the nation.</w:t>
      </w:r>
    </w:p>
    <w:p w14:paraId="3627F87B" w14:textId="77777777" w:rsidR="00FB2D7A" w:rsidRPr="00FB2D7A" w:rsidRDefault="00FB2D7A" w:rsidP="00BD7AEF">
      <w:pPr>
        <w:contextualSpacing/>
        <w:rPr>
          <w:sz w:val="22"/>
          <w:szCs w:val="22"/>
        </w:rPr>
      </w:pPr>
    </w:p>
    <w:p w14:paraId="57C95024" w14:textId="77777777" w:rsidR="003B44EE" w:rsidRDefault="003B44EE" w:rsidP="00BD7AEF">
      <w:pPr>
        <w:contextualSpacing/>
        <w:rPr>
          <w:b/>
          <w:bCs/>
          <w:i/>
          <w:iCs/>
          <w:sz w:val="22"/>
          <w:szCs w:val="22"/>
        </w:rPr>
      </w:pPr>
      <w:r>
        <w:rPr>
          <w:b/>
          <w:bCs/>
          <w:i/>
          <w:iCs/>
          <w:sz w:val="22"/>
          <w:szCs w:val="22"/>
        </w:rPr>
        <w:t>Intentional Transformation</w:t>
      </w:r>
    </w:p>
    <w:p w14:paraId="6908E7A4" w14:textId="77777777" w:rsidR="00BD7AEF" w:rsidRDefault="00FB2D7A" w:rsidP="00BD7AEF">
      <w:pPr>
        <w:contextualSpacing/>
        <w:rPr>
          <w:sz w:val="22"/>
          <w:szCs w:val="22"/>
        </w:rPr>
      </w:pPr>
      <w:r w:rsidRPr="00FB2D7A">
        <w:rPr>
          <w:sz w:val="22"/>
          <w:szCs w:val="22"/>
        </w:rPr>
        <w:t xml:space="preserve">“Not only is the East End a breathtaking and sustainable extension of the Danforth Campus; its intentional design, architecture and proximity to Forest Park signify our openness and accessibility to the wider community as well as our commitment to collaboration across departments and disciplines,” said WashU Chancellor Andrew D. Martin. </w:t>
      </w:r>
    </w:p>
    <w:p w14:paraId="6A8865BD" w14:textId="77777777" w:rsidR="00BD7AEF" w:rsidRDefault="00BD7AEF" w:rsidP="00BD7AEF">
      <w:pPr>
        <w:contextualSpacing/>
        <w:rPr>
          <w:sz w:val="22"/>
          <w:szCs w:val="22"/>
        </w:rPr>
      </w:pPr>
    </w:p>
    <w:p w14:paraId="36746997" w14:textId="153ED0E4" w:rsidR="00FB2D7A" w:rsidRPr="00FB2D7A" w:rsidRDefault="00BD7AEF" w:rsidP="00BD7AEF">
      <w:pPr>
        <w:contextualSpacing/>
        <w:rPr>
          <w:sz w:val="22"/>
          <w:szCs w:val="22"/>
        </w:rPr>
      </w:pPr>
      <w:r>
        <w:rPr>
          <w:sz w:val="22"/>
          <w:szCs w:val="22"/>
        </w:rPr>
        <w:t xml:space="preserve">He continued, </w:t>
      </w:r>
      <w:r w:rsidR="00FB2D7A" w:rsidRPr="00FB2D7A">
        <w:rPr>
          <w:sz w:val="22"/>
          <w:szCs w:val="22"/>
        </w:rPr>
        <w:t>“With careful attention to these details, this transformation allows us to further our mission to pursue distinction in education and research and to be an even stronger neighbor and partner as we open our doors to the St. Louis region even wider.”</w:t>
      </w:r>
    </w:p>
    <w:p w14:paraId="053C45A2" w14:textId="77777777" w:rsidR="0053508D" w:rsidRDefault="0053508D" w:rsidP="00BD7AEF">
      <w:pPr>
        <w:contextualSpacing/>
        <w:rPr>
          <w:sz w:val="22"/>
          <w:szCs w:val="22"/>
        </w:rPr>
      </w:pPr>
    </w:p>
    <w:p w14:paraId="25E07799" w14:textId="77777777" w:rsidR="00BD7AEF" w:rsidRPr="00AE7D15" w:rsidRDefault="00BD7AEF" w:rsidP="00BD7AEF">
      <w:pPr>
        <w:jc w:val="right"/>
        <w:rPr>
          <w:i/>
          <w:iCs/>
          <w:color w:val="000000" w:themeColor="text1"/>
          <w:sz w:val="18"/>
          <w:szCs w:val="18"/>
        </w:rPr>
      </w:pPr>
      <w:r>
        <w:rPr>
          <w:i/>
          <w:iCs/>
          <w:color w:val="000000" w:themeColor="text1"/>
          <w:sz w:val="18"/>
          <w:szCs w:val="18"/>
        </w:rPr>
        <w:t>(more)</w:t>
      </w:r>
      <w:r w:rsidRPr="00AE7D15">
        <w:rPr>
          <w:i/>
          <w:iCs/>
          <w:color w:val="000000" w:themeColor="text1"/>
          <w:sz w:val="18"/>
          <w:szCs w:val="18"/>
        </w:rPr>
        <w:br w:type="page"/>
      </w:r>
    </w:p>
    <w:p w14:paraId="43B950DB" w14:textId="0A6CA680" w:rsidR="00FB2D7A" w:rsidRPr="00FB2D7A" w:rsidRDefault="00FB2D7A" w:rsidP="00BD7AEF">
      <w:pPr>
        <w:ind w:right="90"/>
        <w:contextualSpacing/>
        <w:rPr>
          <w:sz w:val="22"/>
          <w:szCs w:val="22"/>
        </w:rPr>
      </w:pPr>
      <w:r w:rsidRPr="00FB2D7A">
        <w:rPr>
          <w:sz w:val="22"/>
          <w:szCs w:val="22"/>
        </w:rPr>
        <w:lastRenderedPageBreak/>
        <w:t>“This project was truly a unique opportunity to honor our physical heritage and lay the foundation for our future,” added Henry S. Webber, the university’s executive vice chancellor and chief administrative officer. “These world-class facilities will support world-class teaching and research and the everyday activities of our faculty, students, staff and guests for many years. I want to commend the project team at the university, our contractors and our design teams on a job very well done.”</w:t>
      </w:r>
    </w:p>
    <w:p w14:paraId="375FB6C1" w14:textId="643261F1" w:rsidR="00FB2D7A" w:rsidRDefault="00FB2D7A" w:rsidP="00BD7AEF">
      <w:pPr>
        <w:contextualSpacing/>
        <w:rPr>
          <w:sz w:val="20"/>
          <w:szCs w:val="20"/>
        </w:rPr>
      </w:pPr>
    </w:p>
    <w:p w14:paraId="7BE445EB" w14:textId="6DA84DCD" w:rsidR="0031199A" w:rsidRPr="00FB2D7A" w:rsidRDefault="0031199A" w:rsidP="00BD7AEF">
      <w:pPr>
        <w:contextualSpacing/>
        <w:jc w:val="center"/>
        <w:rPr>
          <w:sz w:val="20"/>
          <w:szCs w:val="20"/>
        </w:rPr>
      </w:pPr>
      <w:r>
        <w:rPr>
          <w:sz w:val="20"/>
          <w:szCs w:val="20"/>
        </w:rPr>
        <w:t>**</w:t>
      </w:r>
    </w:p>
    <w:p w14:paraId="176558BE" w14:textId="77777777" w:rsidR="00FB2D7A" w:rsidRPr="00FB2D7A" w:rsidRDefault="00FB2D7A" w:rsidP="00BD7AEF">
      <w:pPr>
        <w:contextualSpacing/>
        <w:rPr>
          <w:sz w:val="20"/>
          <w:szCs w:val="20"/>
        </w:rPr>
      </w:pPr>
    </w:p>
    <w:p w14:paraId="260A2819" w14:textId="77777777" w:rsidR="00FB2D7A" w:rsidRPr="00FB2D7A" w:rsidRDefault="00FB2D7A" w:rsidP="00BD7AEF">
      <w:pPr>
        <w:contextualSpacing/>
        <w:rPr>
          <w:b/>
          <w:bCs/>
          <w:i/>
          <w:iCs/>
          <w:sz w:val="20"/>
          <w:szCs w:val="20"/>
        </w:rPr>
      </w:pPr>
      <w:r w:rsidRPr="00FB2D7A">
        <w:rPr>
          <w:b/>
          <w:bCs/>
          <w:i/>
          <w:iCs/>
          <w:sz w:val="20"/>
          <w:szCs w:val="20"/>
        </w:rPr>
        <w:t>Washington University in St. Louis, Danforth Campus, James M. McKelvey Sr. Hall, James McKelvey School of Engineering, Department of Computer Science &amp; Engineering; One Brookings Drive, St. Louis, MO 63130; https://engineering.wustl.edu</w:t>
      </w:r>
    </w:p>
    <w:p w14:paraId="6EB10DF6" w14:textId="77777777" w:rsidR="00FB2D7A" w:rsidRPr="00FB2D7A" w:rsidRDefault="00FB2D7A" w:rsidP="00BD7AEF">
      <w:pPr>
        <w:pStyle w:val="ListParagraph"/>
        <w:numPr>
          <w:ilvl w:val="0"/>
          <w:numId w:val="11"/>
        </w:numPr>
        <w:rPr>
          <w:rFonts w:ascii="Times New Roman" w:hAnsi="Times New Roman" w:cs="Times New Roman"/>
          <w:sz w:val="20"/>
          <w:szCs w:val="20"/>
        </w:rPr>
      </w:pPr>
      <w:r w:rsidRPr="00FB2D7A">
        <w:rPr>
          <w:rFonts w:ascii="Times New Roman" w:hAnsi="Times New Roman" w:cs="Times New Roman"/>
          <w:sz w:val="20"/>
          <w:szCs w:val="20"/>
        </w:rPr>
        <w:t>Owner: Washington University in St. Louis, Missouri; https://wustl.edu</w:t>
      </w:r>
    </w:p>
    <w:p w14:paraId="19719021" w14:textId="77777777" w:rsidR="00FB2D7A" w:rsidRPr="00FB2D7A" w:rsidRDefault="00FB2D7A" w:rsidP="00BD7AEF">
      <w:pPr>
        <w:pStyle w:val="ListParagraph"/>
        <w:numPr>
          <w:ilvl w:val="0"/>
          <w:numId w:val="11"/>
        </w:numPr>
        <w:rPr>
          <w:rFonts w:ascii="Times New Roman" w:hAnsi="Times New Roman" w:cs="Times New Roman"/>
          <w:sz w:val="20"/>
          <w:szCs w:val="20"/>
        </w:rPr>
      </w:pPr>
      <w:r w:rsidRPr="00FB2D7A">
        <w:rPr>
          <w:rFonts w:ascii="Times New Roman" w:hAnsi="Times New Roman" w:cs="Times New Roman"/>
          <w:sz w:val="20"/>
          <w:szCs w:val="20"/>
        </w:rPr>
        <w:t>Architect: Perkins Eastman; New York; https://perkinseastman.com</w:t>
      </w:r>
    </w:p>
    <w:p w14:paraId="34B2FBE9" w14:textId="77777777" w:rsidR="00FB2D7A" w:rsidRPr="00FB2D7A" w:rsidRDefault="00FB2D7A" w:rsidP="00BD7AEF">
      <w:pPr>
        <w:pStyle w:val="ListParagraph"/>
        <w:numPr>
          <w:ilvl w:val="0"/>
          <w:numId w:val="11"/>
        </w:numPr>
        <w:rPr>
          <w:rFonts w:ascii="Times New Roman" w:hAnsi="Times New Roman" w:cs="Times New Roman"/>
          <w:sz w:val="20"/>
          <w:szCs w:val="20"/>
        </w:rPr>
      </w:pPr>
      <w:r w:rsidRPr="00FB2D7A">
        <w:rPr>
          <w:rFonts w:ascii="Times New Roman" w:hAnsi="Times New Roman" w:cs="Times New Roman"/>
          <w:sz w:val="20"/>
          <w:szCs w:val="20"/>
        </w:rPr>
        <w:t>Associate architect: Patterhn Ives, LLC; St. Louis, Missouri; https://www.patterhn-ives.com</w:t>
      </w:r>
    </w:p>
    <w:p w14:paraId="5176DCC8" w14:textId="77777777" w:rsidR="00FB2D7A" w:rsidRPr="00FB2D7A" w:rsidRDefault="00FB2D7A" w:rsidP="00BD7AEF">
      <w:pPr>
        <w:pStyle w:val="ListParagraph"/>
        <w:numPr>
          <w:ilvl w:val="0"/>
          <w:numId w:val="11"/>
        </w:numPr>
        <w:rPr>
          <w:rFonts w:ascii="Times New Roman" w:hAnsi="Times New Roman" w:cs="Times New Roman"/>
          <w:sz w:val="20"/>
          <w:szCs w:val="20"/>
        </w:rPr>
      </w:pPr>
      <w:r w:rsidRPr="00FB2D7A">
        <w:rPr>
          <w:rFonts w:ascii="Times New Roman" w:hAnsi="Times New Roman" w:cs="Times New Roman"/>
          <w:sz w:val="20"/>
          <w:szCs w:val="20"/>
        </w:rPr>
        <w:t>Construction manager: McCarthy Building Companies, Inc.; St. Louis, Missouri; https://www.mccarthy.com</w:t>
      </w:r>
    </w:p>
    <w:p w14:paraId="2E28F05D" w14:textId="77777777" w:rsidR="00FB2D7A" w:rsidRPr="00FB2D7A" w:rsidRDefault="00FB2D7A" w:rsidP="00BD7AEF">
      <w:pPr>
        <w:pStyle w:val="ListParagraph"/>
        <w:numPr>
          <w:ilvl w:val="0"/>
          <w:numId w:val="11"/>
        </w:numPr>
        <w:rPr>
          <w:rFonts w:ascii="Times New Roman" w:hAnsi="Times New Roman" w:cs="Times New Roman"/>
          <w:sz w:val="20"/>
          <w:szCs w:val="20"/>
        </w:rPr>
      </w:pPr>
      <w:r w:rsidRPr="00FB2D7A">
        <w:rPr>
          <w:rFonts w:ascii="Times New Roman" w:hAnsi="Times New Roman" w:cs="Times New Roman"/>
          <w:sz w:val="20"/>
          <w:szCs w:val="20"/>
        </w:rPr>
        <w:t>Fabricator – glass: Viracon; Owatonna, Minnesota; https://www.viracon.com</w:t>
      </w:r>
    </w:p>
    <w:p w14:paraId="7399EF95" w14:textId="77777777" w:rsidR="00FB2D7A" w:rsidRPr="00FB2D7A" w:rsidRDefault="00FB2D7A" w:rsidP="00BD7AEF">
      <w:pPr>
        <w:pStyle w:val="ListParagraph"/>
        <w:numPr>
          <w:ilvl w:val="0"/>
          <w:numId w:val="11"/>
        </w:numPr>
        <w:rPr>
          <w:rFonts w:ascii="Times New Roman" w:hAnsi="Times New Roman" w:cs="Times New Roman"/>
          <w:sz w:val="20"/>
          <w:szCs w:val="20"/>
        </w:rPr>
      </w:pPr>
      <w:r w:rsidRPr="00FB2D7A">
        <w:rPr>
          <w:rFonts w:ascii="Times New Roman" w:hAnsi="Times New Roman" w:cs="Times New Roman"/>
          <w:sz w:val="20"/>
          <w:szCs w:val="20"/>
        </w:rPr>
        <w:t>Manufacturer – aluminum-framed curtainwall systems: Wausau Window and Wall Systems; Wausau, Wisconsin; http://www.wausauwindow.com</w:t>
      </w:r>
    </w:p>
    <w:p w14:paraId="73891220" w14:textId="4C178448" w:rsidR="00FB2D7A" w:rsidRPr="00FB2D7A" w:rsidRDefault="00FB2D7A" w:rsidP="00BD7AEF">
      <w:pPr>
        <w:pStyle w:val="ListParagraph"/>
        <w:numPr>
          <w:ilvl w:val="0"/>
          <w:numId w:val="11"/>
        </w:numPr>
        <w:rPr>
          <w:rFonts w:ascii="Times New Roman" w:hAnsi="Times New Roman" w:cs="Times New Roman"/>
          <w:sz w:val="20"/>
          <w:szCs w:val="20"/>
        </w:rPr>
      </w:pPr>
      <w:r w:rsidRPr="00FB2D7A">
        <w:rPr>
          <w:rFonts w:ascii="Times New Roman" w:hAnsi="Times New Roman" w:cs="Times New Roman"/>
          <w:sz w:val="20"/>
          <w:szCs w:val="20"/>
        </w:rPr>
        <w:t>Manufacturer – aluminum-framed ribbon window, curtainwall and entrance systems: Tubelite; Walker, Michigan; https://tubelite</w:t>
      </w:r>
      <w:r w:rsidR="006264AE">
        <w:rPr>
          <w:rFonts w:ascii="Times New Roman" w:hAnsi="Times New Roman" w:cs="Times New Roman"/>
          <w:sz w:val="20"/>
          <w:szCs w:val="20"/>
        </w:rPr>
        <w:t>usa</w:t>
      </w:r>
      <w:r w:rsidRPr="00FB2D7A">
        <w:rPr>
          <w:rFonts w:ascii="Times New Roman" w:hAnsi="Times New Roman" w:cs="Times New Roman"/>
          <w:sz w:val="20"/>
          <w:szCs w:val="20"/>
        </w:rPr>
        <w:t>.com</w:t>
      </w:r>
    </w:p>
    <w:p w14:paraId="6C893E26" w14:textId="1A0B91E3" w:rsidR="00FB2D7A" w:rsidRPr="00FB2D7A" w:rsidRDefault="00FB2D7A" w:rsidP="00BD7AEF">
      <w:pPr>
        <w:pStyle w:val="ListParagraph"/>
        <w:numPr>
          <w:ilvl w:val="0"/>
          <w:numId w:val="11"/>
        </w:numPr>
        <w:rPr>
          <w:rFonts w:ascii="Times New Roman" w:hAnsi="Times New Roman" w:cs="Times New Roman"/>
          <w:sz w:val="20"/>
          <w:szCs w:val="20"/>
        </w:rPr>
      </w:pPr>
      <w:r w:rsidRPr="00FB2D7A">
        <w:rPr>
          <w:rFonts w:ascii="Times New Roman" w:hAnsi="Times New Roman" w:cs="Times New Roman"/>
          <w:sz w:val="20"/>
          <w:szCs w:val="20"/>
        </w:rPr>
        <w:t>Manufacturer’s representative – Tubelite and Viracon: ARCHON Fenestration Technologies, LLC; Overland Park, Kansas; https://www.archonfentech.com</w:t>
      </w:r>
    </w:p>
    <w:p w14:paraId="682220A1" w14:textId="77777777" w:rsidR="00FB2D7A" w:rsidRPr="00FB2D7A" w:rsidRDefault="00FB2D7A" w:rsidP="00BD7AEF">
      <w:pPr>
        <w:pStyle w:val="ListParagraph"/>
        <w:numPr>
          <w:ilvl w:val="0"/>
          <w:numId w:val="11"/>
        </w:numPr>
        <w:rPr>
          <w:rFonts w:ascii="Times New Roman" w:hAnsi="Times New Roman" w:cs="Times New Roman"/>
          <w:sz w:val="20"/>
          <w:szCs w:val="20"/>
        </w:rPr>
      </w:pPr>
      <w:r w:rsidRPr="00FB2D7A">
        <w:rPr>
          <w:rFonts w:ascii="Times New Roman" w:hAnsi="Times New Roman" w:cs="Times New Roman"/>
          <w:sz w:val="20"/>
          <w:szCs w:val="20"/>
        </w:rPr>
        <w:t>Finishing service provider – aluminum-framed systems: Linetec; Wausau, Wisconsin; https://linetec.com</w:t>
      </w:r>
    </w:p>
    <w:p w14:paraId="6B5EAEB0" w14:textId="13BE715A" w:rsidR="007B58CD" w:rsidRPr="00FB2D7A" w:rsidRDefault="00FB2D7A" w:rsidP="00BD7AEF">
      <w:pPr>
        <w:pStyle w:val="ListParagraph"/>
        <w:numPr>
          <w:ilvl w:val="0"/>
          <w:numId w:val="11"/>
        </w:numPr>
        <w:rPr>
          <w:rFonts w:ascii="Times New Roman" w:hAnsi="Times New Roman" w:cs="Times New Roman"/>
          <w:sz w:val="20"/>
          <w:szCs w:val="20"/>
        </w:rPr>
      </w:pPr>
      <w:r w:rsidRPr="00FB2D7A">
        <w:rPr>
          <w:rFonts w:ascii="Times New Roman" w:hAnsi="Times New Roman" w:cs="Times New Roman"/>
          <w:sz w:val="20"/>
          <w:szCs w:val="20"/>
        </w:rPr>
        <w:t>Photographer: Paúl Rivera</w:t>
      </w:r>
    </w:p>
    <w:p w14:paraId="1F5550BD" w14:textId="77777777" w:rsidR="00FB2D7A" w:rsidRPr="00FB2D7A" w:rsidRDefault="00FB2D7A" w:rsidP="00BD7AEF">
      <w:pPr>
        <w:widowControl w:val="0"/>
        <w:autoSpaceDE w:val="0"/>
        <w:autoSpaceDN w:val="0"/>
        <w:adjustRightInd w:val="0"/>
        <w:contextualSpacing/>
        <w:rPr>
          <w:color w:val="000000"/>
          <w:sz w:val="20"/>
          <w:szCs w:val="20"/>
        </w:rPr>
      </w:pPr>
    </w:p>
    <w:p w14:paraId="4970EB11" w14:textId="77777777" w:rsidR="006264AE" w:rsidRDefault="006264AE" w:rsidP="006264AE">
      <w:pPr>
        <w:ind w:right="180"/>
        <w:contextualSpacing/>
        <w:outlineLvl w:val="0"/>
        <w:rPr>
          <w:i/>
          <w:color w:val="000000"/>
          <w:sz w:val="18"/>
          <w:szCs w:val="18"/>
        </w:rPr>
      </w:pPr>
      <w:r w:rsidRPr="002F57AB">
        <w:rPr>
          <w:i/>
          <w:color w:val="000000"/>
          <w:sz w:val="18"/>
          <w:szCs w:val="18"/>
        </w:rPr>
        <w:t>About Tubelite</w:t>
      </w:r>
      <w:r>
        <w:rPr>
          <w:i/>
          <w:color w:val="000000"/>
          <w:sz w:val="18"/>
          <w:szCs w:val="18"/>
        </w:rPr>
        <w:t xml:space="preserve"> Brand</w:t>
      </w:r>
    </w:p>
    <w:p w14:paraId="0BF6B8A8" w14:textId="77777777" w:rsidR="006264AE" w:rsidRPr="002F57AB" w:rsidRDefault="006264AE" w:rsidP="006264AE">
      <w:pPr>
        <w:ind w:right="180"/>
        <w:contextualSpacing/>
        <w:outlineLvl w:val="0"/>
        <w:rPr>
          <w:i/>
          <w:color w:val="000000"/>
          <w:sz w:val="18"/>
          <w:szCs w:val="18"/>
        </w:rPr>
      </w:pPr>
      <w:r>
        <w:rPr>
          <w:i/>
          <w:color w:val="000000"/>
          <w:sz w:val="18"/>
          <w:szCs w:val="18"/>
        </w:rPr>
        <w:t xml:space="preserve">Tubelite is a brand of Apogee SFS US, LLC, a subsidiary of Apogee Wausau Group, Inc., part of the Apogee Enterprises, Inc. portfolio. </w:t>
      </w:r>
      <w:r w:rsidRPr="002F57AB">
        <w:rPr>
          <w:i/>
          <w:color w:val="000000"/>
          <w:sz w:val="18"/>
          <w:szCs w:val="18"/>
        </w:rPr>
        <w:t xml:space="preserve">For more than 75 years, glazing contractors have counted on Tubelite’s dependable service, fabrication and distribution of architectural aluminum products. </w:t>
      </w:r>
      <w:r>
        <w:rPr>
          <w:i/>
          <w:color w:val="000000"/>
          <w:sz w:val="18"/>
          <w:szCs w:val="18"/>
        </w:rPr>
        <w:t xml:space="preserve">Tubelite </w:t>
      </w:r>
      <w:r w:rsidRPr="002F57AB">
        <w:rPr>
          <w:i/>
          <w:color w:val="000000"/>
          <w:sz w:val="18"/>
          <w:szCs w:val="18"/>
        </w:rPr>
        <w:t xml:space="preserve">is an industry leader in eco-efficient storefront, curtainwall and entrance systems, and </w:t>
      </w:r>
      <w:r>
        <w:rPr>
          <w:i/>
          <w:color w:val="000000"/>
          <w:sz w:val="18"/>
          <w:szCs w:val="18"/>
        </w:rPr>
        <w:t xml:space="preserve">is </w:t>
      </w:r>
      <w:r w:rsidRPr="002F57AB">
        <w:rPr>
          <w:i/>
          <w:color w:val="000000"/>
          <w:sz w:val="18"/>
          <w:szCs w:val="18"/>
        </w:rPr>
        <w:t>recognized for fast, reliable and consistent delivery.</w:t>
      </w:r>
    </w:p>
    <w:p w14:paraId="1316B178" w14:textId="77777777" w:rsidR="006264AE" w:rsidRPr="002F57AB" w:rsidRDefault="006264AE" w:rsidP="006264AE">
      <w:pPr>
        <w:widowControl w:val="0"/>
        <w:autoSpaceDE w:val="0"/>
        <w:autoSpaceDN w:val="0"/>
        <w:adjustRightInd w:val="0"/>
        <w:rPr>
          <w:i/>
          <w:color w:val="000000"/>
          <w:sz w:val="18"/>
          <w:szCs w:val="18"/>
        </w:rPr>
      </w:pPr>
    </w:p>
    <w:p w14:paraId="68A2F10E" w14:textId="77777777" w:rsidR="006264AE" w:rsidRPr="002F57AB" w:rsidRDefault="006264AE" w:rsidP="006264AE">
      <w:pPr>
        <w:widowControl w:val="0"/>
        <w:autoSpaceDE w:val="0"/>
        <w:autoSpaceDN w:val="0"/>
        <w:adjustRightInd w:val="0"/>
        <w:rPr>
          <w:i/>
          <w:color w:val="000000"/>
          <w:sz w:val="18"/>
          <w:szCs w:val="18"/>
        </w:rPr>
      </w:pPr>
      <w:r>
        <w:rPr>
          <w:i/>
          <w:color w:val="000000"/>
          <w:sz w:val="18"/>
          <w:szCs w:val="18"/>
        </w:rPr>
        <w:t xml:space="preserve">The </w:t>
      </w:r>
      <w:r w:rsidRPr="002F57AB">
        <w:rPr>
          <w:i/>
          <w:color w:val="000000"/>
          <w:sz w:val="18"/>
          <w:szCs w:val="18"/>
        </w:rPr>
        <w:t xml:space="preserve">Tubelite </w:t>
      </w:r>
      <w:r>
        <w:rPr>
          <w:i/>
          <w:color w:val="000000"/>
          <w:sz w:val="18"/>
          <w:szCs w:val="18"/>
        </w:rPr>
        <w:t xml:space="preserve">main </w:t>
      </w:r>
      <w:r w:rsidRPr="002F57AB">
        <w:rPr>
          <w:i/>
          <w:color w:val="000000"/>
          <w:sz w:val="18"/>
          <w:szCs w:val="18"/>
        </w:rPr>
        <w:t>office</w:t>
      </w:r>
      <w:r>
        <w:rPr>
          <w:i/>
          <w:color w:val="000000"/>
          <w:sz w:val="18"/>
          <w:szCs w:val="18"/>
        </w:rPr>
        <w:t>s and</w:t>
      </w:r>
      <w:r w:rsidRPr="002F57AB">
        <w:rPr>
          <w:i/>
          <w:color w:val="000000"/>
          <w:sz w:val="18"/>
          <w:szCs w:val="18"/>
        </w:rPr>
        <w:t xml:space="preserve"> fabrication, warehouse and shipping operations are in Walker, Michigan. </w:t>
      </w:r>
      <w:r>
        <w:rPr>
          <w:i/>
          <w:color w:val="000000"/>
          <w:sz w:val="18"/>
          <w:szCs w:val="18"/>
        </w:rPr>
        <w:t>The Apogee SFS-</w:t>
      </w:r>
      <w:r w:rsidRPr="002F57AB">
        <w:rPr>
          <w:i/>
          <w:color w:val="000000"/>
          <w:sz w:val="18"/>
          <w:szCs w:val="18"/>
        </w:rPr>
        <w:t>Dallas location provides additional</w:t>
      </w:r>
      <w:r>
        <w:rPr>
          <w:i/>
          <w:color w:val="000000"/>
          <w:sz w:val="18"/>
          <w:szCs w:val="18"/>
        </w:rPr>
        <w:t xml:space="preserve"> Tubelite</w:t>
      </w:r>
      <w:r w:rsidRPr="002F57AB">
        <w:rPr>
          <w:i/>
          <w:color w:val="000000"/>
          <w:sz w:val="18"/>
          <w:szCs w:val="18"/>
        </w:rPr>
        <w:t xml:space="preserve"> fabrication, warehouse and shipping operations. </w:t>
      </w:r>
      <w:r>
        <w:rPr>
          <w:i/>
          <w:color w:val="000000"/>
          <w:sz w:val="18"/>
          <w:szCs w:val="18"/>
        </w:rPr>
        <w:t>The Apogee SFS</w:t>
      </w:r>
      <w:r w:rsidRPr="002F57AB">
        <w:rPr>
          <w:i/>
          <w:color w:val="000000"/>
          <w:sz w:val="18"/>
          <w:szCs w:val="18"/>
        </w:rPr>
        <w:t xml:space="preserve"> facility in Reed City, Michigan, houses the </w:t>
      </w:r>
      <w:r>
        <w:rPr>
          <w:i/>
          <w:color w:val="000000"/>
          <w:sz w:val="18"/>
          <w:szCs w:val="18"/>
        </w:rPr>
        <w:t xml:space="preserve">Tubelite </w:t>
      </w:r>
      <w:r w:rsidRPr="002F57AB">
        <w:rPr>
          <w:i/>
          <w:color w:val="000000"/>
          <w:sz w:val="18"/>
          <w:szCs w:val="18"/>
        </w:rPr>
        <w:t>aluminum extrusion operation.</w:t>
      </w:r>
    </w:p>
    <w:p w14:paraId="4E068339" w14:textId="77777777" w:rsidR="006264AE" w:rsidRPr="002F57AB" w:rsidRDefault="006264AE" w:rsidP="006264AE">
      <w:pPr>
        <w:contextualSpacing/>
        <w:rPr>
          <w:i/>
          <w:color w:val="000000"/>
          <w:sz w:val="18"/>
          <w:szCs w:val="18"/>
        </w:rPr>
      </w:pPr>
    </w:p>
    <w:p w14:paraId="6AE4F314" w14:textId="77777777" w:rsidR="006264AE" w:rsidRPr="002F57AB" w:rsidRDefault="006264AE" w:rsidP="006264AE">
      <w:pPr>
        <w:pStyle w:val="BodyText0"/>
        <w:spacing w:before="2" w:after="2"/>
        <w:contextualSpacing/>
        <w:rPr>
          <w:i/>
          <w:color w:val="000000"/>
          <w:sz w:val="18"/>
          <w:szCs w:val="18"/>
          <w:lang w:val="en-US"/>
        </w:rPr>
      </w:pPr>
      <w:r w:rsidRPr="002F57AB">
        <w:rPr>
          <w:i/>
          <w:color w:val="000000"/>
          <w:sz w:val="18"/>
          <w:szCs w:val="18"/>
          <w:lang w:val="en-US"/>
        </w:rPr>
        <w:t>Tubelite and its staff are members of the American Institute of Architects (AIA), the Construction Specifications Institute (CSI), the Fenestration and Glazing Industry Alliance (FGIA), the National Fenestration Rating Council (NFRC), the National Glass Association (NGA) and the U.S. Green Building Council (USGBC).</w:t>
      </w:r>
    </w:p>
    <w:p w14:paraId="5F7F92CC" w14:textId="56ECB736" w:rsidR="00C86766" w:rsidRPr="00FB2D7A" w:rsidRDefault="006264AE" w:rsidP="006264AE">
      <w:pPr>
        <w:contextualSpacing/>
        <w:jc w:val="center"/>
        <w:rPr>
          <w:i/>
          <w:color w:val="000000"/>
          <w:sz w:val="22"/>
          <w:szCs w:val="22"/>
        </w:rPr>
      </w:pPr>
      <w:r w:rsidRPr="002F57AB">
        <w:rPr>
          <w:i/>
          <w:color w:val="000000"/>
          <w:sz w:val="18"/>
          <w:szCs w:val="18"/>
        </w:rPr>
        <w:t>##</w:t>
      </w:r>
      <w:r>
        <w:rPr>
          <w:i/>
          <w:color w:val="000000"/>
          <w:sz w:val="18"/>
          <w:szCs w:val="18"/>
        </w:rPr>
        <w:t>#</w:t>
      </w:r>
    </w:p>
    <w:p w14:paraId="6DAE7DF1" w14:textId="77777777" w:rsidR="00AE7D15" w:rsidRPr="00FB2D7A" w:rsidRDefault="00AE7D15" w:rsidP="00BD7AEF">
      <w:pPr>
        <w:contextualSpacing/>
        <w:rPr>
          <w:i/>
          <w:color w:val="000000"/>
          <w:sz w:val="22"/>
          <w:szCs w:val="22"/>
        </w:rPr>
      </w:pPr>
    </w:p>
    <w:sectPr w:rsidR="00AE7D15" w:rsidRPr="00FB2D7A" w:rsidSect="00C91B03">
      <w:headerReference w:type="default" r:id="rId7"/>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4114" w14:textId="77777777" w:rsidR="00A05403" w:rsidRDefault="00A05403">
      <w:r>
        <w:separator/>
      </w:r>
    </w:p>
  </w:endnote>
  <w:endnote w:type="continuationSeparator" w:id="0">
    <w:p w14:paraId="683BC5E2" w14:textId="77777777" w:rsidR="00A05403" w:rsidRDefault="00A0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A5D63" w14:textId="77777777" w:rsidR="00A05403" w:rsidRDefault="00A05403">
      <w:r>
        <w:separator/>
      </w:r>
    </w:p>
  </w:footnote>
  <w:footnote w:type="continuationSeparator" w:id="0">
    <w:p w14:paraId="15FB0B4D" w14:textId="77777777" w:rsidR="00A05403" w:rsidRDefault="00A05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E997" w14:textId="6E18C8E1"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184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112943"/>
    <w:multiLevelType w:val="hybridMultilevel"/>
    <w:tmpl w:val="356CC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F7867"/>
    <w:multiLevelType w:val="hybridMultilevel"/>
    <w:tmpl w:val="6A04A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56805610">
    <w:abstractNumId w:val="4"/>
  </w:num>
  <w:num w:numId="2" w16cid:durableId="1011448973">
    <w:abstractNumId w:val="8"/>
  </w:num>
  <w:num w:numId="3" w16cid:durableId="1575360472">
    <w:abstractNumId w:val="7"/>
  </w:num>
  <w:num w:numId="4" w16cid:durableId="1767534268">
    <w:abstractNumId w:val="0"/>
  </w:num>
  <w:num w:numId="5" w16cid:durableId="1200585244">
    <w:abstractNumId w:val="9"/>
  </w:num>
  <w:num w:numId="6" w16cid:durableId="253511030">
    <w:abstractNumId w:val="3"/>
  </w:num>
  <w:num w:numId="7" w16cid:durableId="1732076503">
    <w:abstractNumId w:val="2"/>
  </w:num>
  <w:num w:numId="8" w16cid:durableId="342973679">
    <w:abstractNumId w:val="6"/>
  </w:num>
  <w:num w:numId="9" w16cid:durableId="753162114">
    <w:abstractNumId w:val="10"/>
  </w:num>
  <w:num w:numId="10" w16cid:durableId="636493830">
    <w:abstractNumId w:val="5"/>
  </w:num>
  <w:num w:numId="11" w16cid:durableId="1804228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9BD"/>
    <w:rsid w:val="00012260"/>
    <w:rsid w:val="00012748"/>
    <w:rsid w:val="00017443"/>
    <w:rsid w:val="0002171A"/>
    <w:rsid w:val="00022913"/>
    <w:rsid w:val="00022D3A"/>
    <w:rsid w:val="0002687E"/>
    <w:rsid w:val="00030768"/>
    <w:rsid w:val="0003213A"/>
    <w:rsid w:val="0003268C"/>
    <w:rsid w:val="00035963"/>
    <w:rsid w:val="00036E3A"/>
    <w:rsid w:val="00037E81"/>
    <w:rsid w:val="00044EC2"/>
    <w:rsid w:val="00046914"/>
    <w:rsid w:val="00046D89"/>
    <w:rsid w:val="000470C8"/>
    <w:rsid w:val="00054CF5"/>
    <w:rsid w:val="0005524A"/>
    <w:rsid w:val="000572C2"/>
    <w:rsid w:val="00057450"/>
    <w:rsid w:val="00057AD0"/>
    <w:rsid w:val="00060994"/>
    <w:rsid w:val="00060E4C"/>
    <w:rsid w:val="00065574"/>
    <w:rsid w:val="00075006"/>
    <w:rsid w:val="000808FF"/>
    <w:rsid w:val="00083B73"/>
    <w:rsid w:val="00097EBF"/>
    <w:rsid w:val="000A228A"/>
    <w:rsid w:val="000B2450"/>
    <w:rsid w:val="000B7CA5"/>
    <w:rsid w:val="000C6B23"/>
    <w:rsid w:val="000C7553"/>
    <w:rsid w:val="000D1ADB"/>
    <w:rsid w:val="000D2557"/>
    <w:rsid w:val="000D5DA4"/>
    <w:rsid w:val="000E3C8B"/>
    <w:rsid w:val="000E4250"/>
    <w:rsid w:val="000E4F06"/>
    <w:rsid w:val="000E6580"/>
    <w:rsid w:val="001118D6"/>
    <w:rsid w:val="00113A84"/>
    <w:rsid w:val="00116000"/>
    <w:rsid w:val="00121D92"/>
    <w:rsid w:val="0012726A"/>
    <w:rsid w:val="00133C3D"/>
    <w:rsid w:val="001373BB"/>
    <w:rsid w:val="001418CC"/>
    <w:rsid w:val="00147C97"/>
    <w:rsid w:val="00153A1B"/>
    <w:rsid w:val="001549A5"/>
    <w:rsid w:val="00156C22"/>
    <w:rsid w:val="0016020A"/>
    <w:rsid w:val="0016155E"/>
    <w:rsid w:val="001638FF"/>
    <w:rsid w:val="00164174"/>
    <w:rsid w:val="00170080"/>
    <w:rsid w:val="00171686"/>
    <w:rsid w:val="00171FD4"/>
    <w:rsid w:val="00175D69"/>
    <w:rsid w:val="00177A54"/>
    <w:rsid w:val="00180F66"/>
    <w:rsid w:val="00190F8F"/>
    <w:rsid w:val="001923EA"/>
    <w:rsid w:val="00192B67"/>
    <w:rsid w:val="00194027"/>
    <w:rsid w:val="001963F7"/>
    <w:rsid w:val="001970BA"/>
    <w:rsid w:val="00197774"/>
    <w:rsid w:val="001A2AA5"/>
    <w:rsid w:val="001A3A58"/>
    <w:rsid w:val="001A6F95"/>
    <w:rsid w:val="001A73DF"/>
    <w:rsid w:val="001B6686"/>
    <w:rsid w:val="001C19D9"/>
    <w:rsid w:val="001C33EB"/>
    <w:rsid w:val="001C5B38"/>
    <w:rsid w:val="001C6CCA"/>
    <w:rsid w:val="001D74B4"/>
    <w:rsid w:val="001E0E0B"/>
    <w:rsid w:val="001E5CE4"/>
    <w:rsid w:val="001E7BD9"/>
    <w:rsid w:val="001F10B4"/>
    <w:rsid w:val="001F5BAB"/>
    <w:rsid w:val="001F7142"/>
    <w:rsid w:val="001F71ED"/>
    <w:rsid w:val="002002E1"/>
    <w:rsid w:val="0020451F"/>
    <w:rsid w:val="00205195"/>
    <w:rsid w:val="002075B5"/>
    <w:rsid w:val="002076CD"/>
    <w:rsid w:val="00211274"/>
    <w:rsid w:val="00215793"/>
    <w:rsid w:val="00216019"/>
    <w:rsid w:val="00216831"/>
    <w:rsid w:val="00216BDF"/>
    <w:rsid w:val="00225B2D"/>
    <w:rsid w:val="00230A9C"/>
    <w:rsid w:val="00234812"/>
    <w:rsid w:val="00235565"/>
    <w:rsid w:val="00236389"/>
    <w:rsid w:val="0023792D"/>
    <w:rsid w:val="0024139B"/>
    <w:rsid w:val="00245D0C"/>
    <w:rsid w:val="002526E2"/>
    <w:rsid w:val="002535E8"/>
    <w:rsid w:val="00256664"/>
    <w:rsid w:val="0025702A"/>
    <w:rsid w:val="00260076"/>
    <w:rsid w:val="00261EAD"/>
    <w:rsid w:val="00270C5D"/>
    <w:rsid w:val="00270C9B"/>
    <w:rsid w:val="00271C90"/>
    <w:rsid w:val="002831CE"/>
    <w:rsid w:val="0028521A"/>
    <w:rsid w:val="00286126"/>
    <w:rsid w:val="0028749E"/>
    <w:rsid w:val="00292EB0"/>
    <w:rsid w:val="002932B6"/>
    <w:rsid w:val="002A0E7D"/>
    <w:rsid w:val="002A5614"/>
    <w:rsid w:val="002A6B3C"/>
    <w:rsid w:val="002A6DBC"/>
    <w:rsid w:val="002A7142"/>
    <w:rsid w:val="002B0CD0"/>
    <w:rsid w:val="002B404C"/>
    <w:rsid w:val="002C062C"/>
    <w:rsid w:val="002C1B34"/>
    <w:rsid w:val="002C7255"/>
    <w:rsid w:val="002C7631"/>
    <w:rsid w:val="002D2731"/>
    <w:rsid w:val="002D319A"/>
    <w:rsid w:val="002D7605"/>
    <w:rsid w:val="002E3972"/>
    <w:rsid w:val="002F1FF8"/>
    <w:rsid w:val="00301E6B"/>
    <w:rsid w:val="003052B5"/>
    <w:rsid w:val="0031199A"/>
    <w:rsid w:val="00311C0A"/>
    <w:rsid w:val="003124A6"/>
    <w:rsid w:val="00312783"/>
    <w:rsid w:val="003236AD"/>
    <w:rsid w:val="003322BE"/>
    <w:rsid w:val="00333246"/>
    <w:rsid w:val="0033401E"/>
    <w:rsid w:val="00334F20"/>
    <w:rsid w:val="0033608A"/>
    <w:rsid w:val="0034070E"/>
    <w:rsid w:val="0034160C"/>
    <w:rsid w:val="003420F6"/>
    <w:rsid w:val="00346226"/>
    <w:rsid w:val="00347C20"/>
    <w:rsid w:val="00355EAE"/>
    <w:rsid w:val="00356143"/>
    <w:rsid w:val="00356A55"/>
    <w:rsid w:val="00357C3C"/>
    <w:rsid w:val="003606FB"/>
    <w:rsid w:val="00360872"/>
    <w:rsid w:val="00362AAC"/>
    <w:rsid w:val="00362DEF"/>
    <w:rsid w:val="00365F3C"/>
    <w:rsid w:val="00367B6C"/>
    <w:rsid w:val="00370981"/>
    <w:rsid w:val="00373A4D"/>
    <w:rsid w:val="003824A1"/>
    <w:rsid w:val="0038460C"/>
    <w:rsid w:val="00390A62"/>
    <w:rsid w:val="00392843"/>
    <w:rsid w:val="003930FC"/>
    <w:rsid w:val="00393F0E"/>
    <w:rsid w:val="003951BD"/>
    <w:rsid w:val="003962AD"/>
    <w:rsid w:val="003965BC"/>
    <w:rsid w:val="00396AF7"/>
    <w:rsid w:val="003A0CC7"/>
    <w:rsid w:val="003A217E"/>
    <w:rsid w:val="003A2D6B"/>
    <w:rsid w:val="003A515E"/>
    <w:rsid w:val="003B0CE3"/>
    <w:rsid w:val="003B0D21"/>
    <w:rsid w:val="003B3D92"/>
    <w:rsid w:val="003B3DBD"/>
    <w:rsid w:val="003B44EE"/>
    <w:rsid w:val="003B5BC0"/>
    <w:rsid w:val="003B67BC"/>
    <w:rsid w:val="003B740A"/>
    <w:rsid w:val="003C0952"/>
    <w:rsid w:val="003C28DB"/>
    <w:rsid w:val="003C2FC2"/>
    <w:rsid w:val="003C409D"/>
    <w:rsid w:val="003C4CC9"/>
    <w:rsid w:val="003C51CD"/>
    <w:rsid w:val="003C5618"/>
    <w:rsid w:val="003C78D1"/>
    <w:rsid w:val="003C7FD4"/>
    <w:rsid w:val="003D6E97"/>
    <w:rsid w:val="003E0E56"/>
    <w:rsid w:val="003E4008"/>
    <w:rsid w:val="003E55BE"/>
    <w:rsid w:val="003E608F"/>
    <w:rsid w:val="003F3AC0"/>
    <w:rsid w:val="003F3D0C"/>
    <w:rsid w:val="003F4703"/>
    <w:rsid w:val="003F59C7"/>
    <w:rsid w:val="004004F9"/>
    <w:rsid w:val="004015FD"/>
    <w:rsid w:val="00401C3F"/>
    <w:rsid w:val="00404501"/>
    <w:rsid w:val="00405E50"/>
    <w:rsid w:val="004060AA"/>
    <w:rsid w:val="00406820"/>
    <w:rsid w:val="00410F8F"/>
    <w:rsid w:val="004179F6"/>
    <w:rsid w:val="0042228C"/>
    <w:rsid w:val="00425625"/>
    <w:rsid w:val="004314B3"/>
    <w:rsid w:val="00433167"/>
    <w:rsid w:val="00435B1C"/>
    <w:rsid w:val="00435B7C"/>
    <w:rsid w:val="004451A6"/>
    <w:rsid w:val="0045743E"/>
    <w:rsid w:val="00461970"/>
    <w:rsid w:val="00461CCB"/>
    <w:rsid w:val="0046410B"/>
    <w:rsid w:val="004649F1"/>
    <w:rsid w:val="00466F47"/>
    <w:rsid w:val="00467285"/>
    <w:rsid w:val="004704FD"/>
    <w:rsid w:val="004723E5"/>
    <w:rsid w:val="00472817"/>
    <w:rsid w:val="0047380F"/>
    <w:rsid w:val="0047411E"/>
    <w:rsid w:val="00475D4D"/>
    <w:rsid w:val="00477639"/>
    <w:rsid w:val="004834B6"/>
    <w:rsid w:val="00485CE1"/>
    <w:rsid w:val="0049033D"/>
    <w:rsid w:val="00491433"/>
    <w:rsid w:val="004938F9"/>
    <w:rsid w:val="00496D32"/>
    <w:rsid w:val="004A1C45"/>
    <w:rsid w:val="004A3E41"/>
    <w:rsid w:val="004B0422"/>
    <w:rsid w:val="004B0BE6"/>
    <w:rsid w:val="004B29C7"/>
    <w:rsid w:val="004B3703"/>
    <w:rsid w:val="004B3F24"/>
    <w:rsid w:val="004B4E89"/>
    <w:rsid w:val="004B57EB"/>
    <w:rsid w:val="004B59DE"/>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5C7D"/>
    <w:rsid w:val="005162B7"/>
    <w:rsid w:val="00517EF2"/>
    <w:rsid w:val="00521895"/>
    <w:rsid w:val="00525252"/>
    <w:rsid w:val="0053448A"/>
    <w:rsid w:val="0053508D"/>
    <w:rsid w:val="00540268"/>
    <w:rsid w:val="00546EB5"/>
    <w:rsid w:val="005508EA"/>
    <w:rsid w:val="00551EBB"/>
    <w:rsid w:val="00556169"/>
    <w:rsid w:val="005563D1"/>
    <w:rsid w:val="005625D8"/>
    <w:rsid w:val="00563C8A"/>
    <w:rsid w:val="00563CAE"/>
    <w:rsid w:val="005663FE"/>
    <w:rsid w:val="0056669A"/>
    <w:rsid w:val="005703FB"/>
    <w:rsid w:val="00571B70"/>
    <w:rsid w:val="00571E2C"/>
    <w:rsid w:val="0057266C"/>
    <w:rsid w:val="00573D36"/>
    <w:rsid w:val="00576EBC"/>
    <w:rsid w:val="00582E7F"/>
    <w:rsid w:val="00584FE3"/>
    <w:rsid w:val="005A1CE2"/>
    <w:rsid w:val="005A3088"/>
    <w:rsid w:val="005A516A"/>
    <w:rsid w:val="005B0C21"/>
    <w:rsid w:val="005B2B22"/>
    <w:rsid w:val="005B41FA"/>
    <w:rsid w:val="005B7C68"/>
    <w:rsid w:val="005C0135"/>
    <w:rsid w:val="005C0428"/>
    <w:rsid w:val="005C0E08"/>
    <w:rsid w:val="005C6773"/>
    <w:rsid w:val="005D54C7"/>
    <w:rsid w:val="005D5B38"/>
    <w:rsid w:val="005D64A7"/>
    <w:rsid w:val="005D6F68"/>
    <w:rsid w:val="005E1C83"/>
    <w:rsid w:val="005F0605"/>
    <w:rsid w:val="005F0772"/>
    <w:rsid w:val="005F5EDE"/>
    <w:rsid w:val="00612B17"/>
    <w:rsid w:val="006162CD"/>
    <w:rsid w:val="006176D7"/>
    <w:rsid w:val="00617DC6"/>
    <w:rsid w:val="006264AE"/>
    <w:rsid w:val="00626FB1"/>
    <w:rsid w:val="006270A0"/>
    <w:rsid w:val="00631B99"/>
    <w:rsid w:val="006336E8"/>
    <w:rsid w:val="006342DF"/>
    <w:rsid w:val="00634BCC"/>
    <w:rsid w:val="0064001D"/>
    <w:rsid w:val="00640F9B"/>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5171"/>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22E"/>
    <w:rsid w:val="006E6E42"/>
    <w:rsid w:val="006E7593"/>
    <w:rsid w:val="006F029C"/>
    <w:rsid w:val="006F29EF"/>
    <w:rsid w:val="006F4CAD"/>
    <w:rsid w:val="00704433"/>
    <w:rsid w:val="007073FC"/>
    <w:rsid w:val="0070779A"/>
    <w:rsid w:val="0071705C"/>
    <w:rsid w:val="00720D58"/>
    <w:rsid w:val="0072565E"/>
    <w:rsid w:val="0072638B"/>
    <w:rsid w:val="007313B3"/>
    <w:rsid w:val="00732E40"/>
    <w:rsid w:val="00734851"/>
    <w:rsid w:val="007356F5"/>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A0298"/>
    <w:rsid w:val="007A1568"/>
    <w:rsid w:val="007A2418"/>
    <w:rsid w:val="007A5AB0"/>
    <w:rsid w:val="007A5FF2"/>
    <w:rsid w:val="007A683B"/>
    <w:rsid w:val="007A6EAB"/>
    <w:rsid w:val="007B2883"/>
    <w:rsid w:val="007B58CD"/>
    <w:rsid w:val="007B5CB9"/>
    <w:rsid w:val="007C098A"/>
    <w:rsid w:val="007C26B9"/>
    <w:rsid w:val="007C38E8"/>
    <w:rsid w:val="007C571B"/>
    <w:rsid w:val="007D438A"/>
    <w:rsid w:val="007D6C23"/>
    <w:rsid w:val="007E17B1"/>
    <w:rsid w:val="007E1C92"/>
    <w:rsid w:val="007E1F0E"/>
    <w:rsid w:val="007E29EA"/>
    <w:rsid w:val="007E6C69"/>
    <w:rsid w:val="007E7D37"/>
    <w:rsid w:val="007F0BC8"/>
    <w:rsid w:val="007F1AC6"/>
    <w:rsid w:val="007F2483"/>
    <w:rsid w:val="007F7D13"/>
    <w:rsid w:val="00800FDF"/>
    <w:rsid w:val="0080439E"/>
    <w:rsid w:val="00806D55"/>
    <w:rsid w:val="0081405A"/>
    <w:rsid w:val="00814EBC"/>
    <w:rsid w:val="00817F40"/>
    <w:rsid w:val="00821CFC"/>
    <w:rsid w:val="008233D9"/>
    <w:rsid w:val="00824CB8"/>
    <w:rsid w:val="00824E74"/>
    <w:rsid w:val="0082717C"/>
    <w:rsid w:val="00832734"/>
    <w:rsid w:val="00835CEE"/>
    <w:rsid w:val="00842CC0"/>
    <w:rsid w:val="00843154"/>
    <w:rsid w:val="00850557"/>
    <w:rsid w:val="00853B64"/>
    <w:rsid w:val="00855A09"/>
    <w:rsid w:val="00863CDA"/>
    <w:rsid w:val="00864310"/>
    <w:rsid w:val="00874468"/>
    <w:rsid w:val="008746AC"/>
    <w:rsid w:val="0087627E"/>
    <w:rsid w:val="00882325"/>
    <w:rsid w:val="0088556F"/>
    <w:rsid w:val="008858A7"/>
    <w:rsid w:val="00885EE0"/>
    <w:rsid w:val="008866B9"/>
    <w:rsid w:val="00892EB6"/>
    <w:rsid w:val="00896D04"/>
    <w:rsid w:val="00896EC9"/>
    <w:rsid w:val="00896EE7"/>
    <w:rsid w:val="008A0D97"/>
    <w:rsid w:val="008A4680"/>
    <w:rsid w:val="008A5E80"/>
    <w:rsid w:val="008B09C9"/>
    <w:rsid w:val="008B121B"/>
    <w:rsid w:val="008B3306"/>
    <w:rsid w:val="008C2D49"/>
    <w:rsid w:val="008C4E43"/>
    <w:rsid w:val="008D0CCA"/>
    <w:rsid w:val="008D5096"/>
    <w:rsid w:val="008E36DE"/>
    <w:rsid w:val="008E532E"/>
    <w:rsid w:val="008E5BCD"/>
    <w:rsid w:val="008E6AC5"/>
    <w:rsid w:val="008E741B"/>
    <w:rsid w:val="008E77CE"/>
    <w:rsid w:val="008E7CA6"/>
    <w:rsid w:val="0090181A"/>
    <w:rsid w:val="00903CED"/>
    <w:rsid w:val="009070E7"/>
    <w:rsid w:val="009077D3"/>
    <w:rsid w:val="00907FA6"/>
    <w:rsid w:val="00910ED3"/>
    <w:rsid w:val="0091152B"/>
    <w:rsid w:val="00915D6F"/>
    <w:rsid w:val="009161A1"/>
    <w:rsid w:val="00921C5B"/>
    <w:rsid w:val="00922F22"/>
    <w:rsid w:val="00924EB3"/>
    <w:rsid w:val="00932796"/>
    <w:rsid w:val="00937F04"/>
    <w:rsid w:val="0094120F"/>
    <w:rsid w:val="00943872"/>
    <w:rsid w:val="00944549"/>
    <w:rsid w:val="00945CF8"/>
    <w:rsid w:val="009521E5"/>
    <w:rsid w:val="00953CD7"/>
    <w:rsid w:val="0095507F"/>
    <w:rsid w:val="0095563D"/>
    <w:rsid w:val="00955EA7"/>
    <w:rsid w:val="00956F5B"/>
    <w:rsid w:val="00957DBB"/>
    <w:rsid w:val="00960F4A"/>
    <w:rsid w:val="00961677"/>
    <w:rsid w:val="00966360"/>
    <w:rsid w:val="00966DD2"/>
    <w:rsid w:val="009719EB"/>
    <w:rsid w:val="00975EDF"/>
    <w:rsid w:val="00976F84"/>
    <w:rsid w:val="00980BFF"/>
    <w:rsid w:val="00983A8B"/>
    <w:rsid w:val="00984698"/>
    <w:rsid w:val="00985A39"/>
    <w:rsid w:val="00987097"/>
    <w:rsid w:val="00992908"/>
    <w:rsid w:val="00995063"/>
    <w:rsid w:val="009A71AA"/>
    <w:rsid w:val="009A72E3"/>
    <w:rsid w:val="009B1778"/>
    <w:rsid w:val="009B436F"/>
    <w:rsid w:val="009B5AEB"/>
    <w:rsid w:val="009B7353"/>
    <w:rsid w:val="009C581D"/>
    <w:rsid w:val="009D0EB4"/>
    <w:rsid w:val="009D2F86"/>
    <w:rsid w:val="009D671F"/>
    <w:rsid w:val="009E0E97"/>
    <w:rsid w:val="009E1275"/>
    <w:rsid w:val="009E1455"/>
    <w:rsid w:val="009E297D"/>
    <w:rsid w:val="009E4C10"/>
    <w:rsid w:val="009E5B7D"/>
    <w:rsid w:val="009E6DD0"/>
    <w:rsid w:val="009E6F69"/>
    <w:rsid w:val="009F466B"/>
    <w:rsid w:val="00A0342A"/>
    <w:rsid w:val="00A05403"/>
    <w:rsid w:val="00A05EB8"/>
    <w:rsid w:val="00A106A9"/>
    <w:rsid w:val="00A1085C"/>
    <w:rsid w:val="00A14F03"/>
    <w:rsid w:val="00A1551B"/>
    <w:rsid w:val="00A2762B"/>
    <w:rsid w:val="00A3178F"/>
    <w:rsid w:val="00A31BC8"/>
    <w:rsid w:val="00A344AA"/>
    <w:rsid w:val="00A34EC6"/>
    <w:rsid w:val="00A36DD8"/>
    <w:rsid w:val="00A4175D"/>
    <w:rsid w:val="00A43CAD"/>
    <w:rsid w:val="00A51E1F"/>
    <w:rsid w:val="00A56CAD"/>
    <w:rsid w:val="00A60A0B"/>
    <w:rsid w:val="00A61DC9"/>
    <w:rsid w:val="00A622E7"/>
    <w:rsid w:val="00A73616"/>
    <w:rsid w:val="00A768D5"/>
    <w:rsid w:val="00A77533"/>
    <w:rsid w:val="00A7756F"/>
    <w:rsid w:val="00A77BC4"/>
    <w:rsid w:val="00A821BF"/>
    <w:rsid w:val="00A84D17"/>
    <w:rsid w:val="00A973EF"/>
    <w:rsid w:val="00A978ED"/>
    <w:rsid w:val="00A97C61"/>
    <w:rsid w:val="00AA1491"/>
    <w:rsid w:val="00AA22A9"/>
    <w:rsid w:val="00AA7272"/>
    <w:rsid w:val="00AB108C"/>
    <w:rsid w:val="00AB20E3"/>
    <w:rsid w:val="00AB2B9F"/>
    <w:rsid w:val="00AB7810"/>
    <w:rsid w:val="00AB7C42"/>
    <w:rsid w:val="00AC472A"/>
    <w:rsid w:val="00AD0F37"/>
    <w:rsid w:val="00AD3EAA"/>
    <w:rsid w:val="00AD4131"/>
    <w:rsid w:val="00AD52CA"/>
    <w:rsid w:val="00AE0F9C"/>
    <w:rsid w:val="00AE12B9"/>
    <w:rsid w:val="00AE232A"/>
    <w:rsid w:val="00AE3451"/>
    <w:rsid w:val="00AE6294"/>
    <w:rsid w:val="00AE7A54"/>
    <w:rsid w:val="00AE7D15"/>
    <w:rsid w:val="00AF1CBC"/>
    <w:rsid w:val="00AF218D"/>
    <w:rsid w:val="00AF74EE"/>
    <w:rsid w:val="00B0037E"/>
    <w:rsid w:val="00B00CC2"/>
    <w:rsid w:val="00B034E5"/>
    <w:rsid w:val="00B0392D"/>
    <w:rsid w:val="00B03E41"/>
    <w:rsid w:val="00B03EAF"/>
    <w:rsid w:val="00B05D3E"/>
    <w:rsid w:val="00B0776A"/>
    <w:rsid w:val="00B11C69"/>
    <w:rsid w:val="00B134BE"/>
    <w:rsid w:val="00B20479"/>
    <w:rsid w:val="00B21CFF"/>
    <w:rsid w:val="00B22646"/>
    <w:rsid w:val="00B275D0"/>
    <w:rsid w:val="00B31F37"/>
    <w:rsid w:val="00B361EB"/>
    <w:rsid w:val="00B41773"/>
    <w:rsid w:val="00B451C1"/>
    <w:rsid w:val="00B4645A"/>
    <w:rsid w:val="00B4788E"/>
    <w:rsid w:val="00B5517B"/>
    <w:rsid w:val="00B554A7"/>
    <w:rsid w:val="00B559E8"/>
    <w:rsid w:val="00B676B2"/>
    <w:rsid w:val="00B72765"/>
    <w:rsid w:val="00B76557"/>
    <w:rsid w:val="00B77098"/>
    <w:rsid w:val="00B87548"/>
    <w:rsid w:val="00B879D9"/>
    <w:rsid w:val="00B90F6A"/>
    <w:rsid w:val="00B94402"/>
    <w:rsid w:val="00B94EB3"/>
    <w:rsid w:val="00B95477"/>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382D"/>
    <w:rsid w:val="00BD4F95"/>
    <w:rsid w:val="00BD7AEF"/>
    <w:rsid w:val="00BE33ED"/>
    <w:rsid w:val="00BF2160"/>
    <w:rsid w:val="00BF5059"/>
    <w:rsid w:val="00BF611F"/>
    <w:rsid w:val="00BF6765"/>
    <w:rsid w:val="00C01056"/>
    <w:rsid w:val="00C01139"/>
    <w:rsid w:val="00C02B80"/>
    <w:rsid w:val="00C035FF"/>
    <w:rsid w:val="00C0439F"/>
    <w:rsid w:val="00C06A7E"/>
    <w:rsid w:val="00C116A9"/>
    <w:rsid w:val="00C15157"/>
    <w:rsid w:val="00C15E77"/>
    <w:rsid w:val="00C1619C"/>
    <w:rsid w:val="00C16590"/>
    <w:rsid w:val="00C16606"/>
    <w:rsid w:val="00C16F12"/>
    <w:rsid w:val="00C2130E"/>
    <w:rsid w:val="00C3194A"/>
    <w:rsid w:val="00C344A4"/>
    <w:rsid w:val="00C34B05"/>
    <w:rsid w:val="00C3579F"/>
    <w:rsid w:val="00C36002"/>
    <w:rsid w:val="00C36096"/>
    <w:rsid w:val="00C368C2"/>
    <w:rsid w:val="00C37AB7"/>
    <w:rsid w:val="00C43A4F"/>
    <w:rsid w:val="00C43B8B"/>
    <w:rsid w:val="00C52751"/>
    <w:rsid w:val="00C52C97"/>
    <w:rsid w:val="00C53336"/>
    <w:rsid w:val="00C60041"/>
    <w:rsid w:val="00C606C9"/>
    <w:rsid w:val="00C60968"/>
    <w:rsid w:val="00C6563D"/>
    <w:rsid w:val="00C666F1"/>
    <w:rsid w:val="00C66BCB"/>
    <w:rsid w:val="00C67AA4"/>
    <w:rsid w:val="00C67AF9"/>
    <w:rsid w:val="00C719A9"/>
    <w:rsid w:val="00C744DF"/>
    <w:rsid w:val="00C768A4"/>
    <w:rsid w:val="00C77F23"/>
    <w:rsid w:val="00C8196C"/>
    <w:rsid w:val="00C86766"/>
    <w:rsid w:val="00C87E89"/>
    <w:rsid w:val="00C900E2"/>
    <w:rsid w:val="00C9025B"/>
    <w:rsid w:val="00C9043F"/>
    <w:rsid w:val="00C91B03"/>
    <w:rsid w:val="00C93627"/>
    <w:rsid w:val="00C93837"/>
    <w:rsid w:val="00C94696"/>
    <w:rsid w:val="00CA168F"/>
    <w:rsid w:val="00CB14D2"/>
    <w:rsid w:val="00CB1A9B"/>
    <w:rsid w:val="00CB5940"/>
    <w:rsid w:val="00CC0FFA"/>
    <w:rsid w:val="00CC1BED"/>
    <w:rsid w:val="00CC435A"/>
    <w:rsid w:val="00CC6A2F"/>
    <w:rsid w:val="00CD0A55"/>
    <w:rsid w:val="00CD6ACB"/>
    <w:rsid w:val="00CE1868"/>
    <w:rsid w:val="00CE4116"/>
    <w:rsid w:val="00CE48A0"/>
    <w:rsid w:val="00CE6BBE"/>
    <w:rsid w:val="00CE732E"/>
    <w:rsid w:val="00CE7BFA"/>
    <w:rsid w:val="00CF1AAE"/>
    <w:rsid w:val="00CF2FC8"/>
    <w:rsid w:val="00CF567E"/>
    <w:rsid w:val="00CF7E0C"/>
    <w:rsid w:val="00CF7E2F"/>
    <w:rsid w:val="00D06C17"/>
    <w:rsid w:val="00D26DCA"/>
    <w:rsid w:val="00D306AD"/>
    <w:rsid w:val="00D315ED"/>
    <w:rsid w:val="00D353CB"/>
    <w:rsid w:val="00D3649E"/>
    <w:rsid w:val="00D41E4B"/>
    <w:rsid w:val="00D4285D"/>
    <w:rsid w:val="00D43159"/>
    <w:rsid w:val="00D44017"/>
    <w:rsid w:val="00D5185A"/>
    <w:rsid w:val="00D51AFF"/>
    <w:rsid w:val="00D51F13"/>
    <w:rsid w:val="00D5398D"/>
    <w:rsid w:val="00D563B0"/>
    <w:rsid w:val="00D568EB"/>
    <w:rsid w:val="00D573F8"/>
    <w:rsid w:val="00D600F7"/>
    <w:rsid w:val="00D60C33"/>
    <w:rsid w:val="00D61970"/>
    <w:rsid w:val="00D61D4F"/>
    <w:rsid w:val="00D632BD"/>
    <w:rsid w:val="00D64E46"/>
    <w:rsid w:val="00D6555E"/>
    <w:rsid w:val="00D6580A"/>
    <w:rsid w:val="00D66200"/>
    <w:rsid w:val="00D70178"/>
    <w:rsid w:val="00D72F6E"/>
    <w:rsid w:val="00D74E63"/>
    <w:rsid w:val="00D7697E"/>
    <w:rsid w:val="00D80EF3"/>
    <w:rsid w:val="00D853C4"/>
    <w:rsid w:val="00D86694"/>
    <w:rsid w:val="00D876B0"/>
    <w:rsid w:val="00D87D52"/>
    <w:rsid w:val="00D910BE"/>
    <w:rsid w:val="00D917FE"/>
    <w:rsid w:val="00D92CC1"/>
    <w:rsid w:val="00D938E6"/>
    <w:rsid w:val="00DA13A2"/>
    <w:rsid w:val="00DB0E51"/>
    <w:rsid w:val="00DB1873"/>
    <w:rsid w:val="00DB532E"/>
    <w:rsid w:val="00DB7BF7"/>
    <w:rsid w:val="00DC3E3C"/>
    <w:rsid w:val="00DC5C45"/>
    <w:rsid w:val="00DC7311"/>
    <w:rsid w:val="00DD0016"/>
    <w:rsid w:val="00DD19A5"/>
    <w:rsid w:val="00DD2E6E"/>
    <w:rsid w:val="00DD3FD5"/>
    <w:rsid w:val="00DE2455"/>
    <w:rsid w:val="00DE5416"/>
    <w:rsid w:val="00DF0037"/>
    <w:rsid w:val="00DF3CBF"/>
    <w:rsid w:val="00E00A88"/>
    <w:rsid w:val="00E0228E"/>
    <w:rsid w:val="00E02EAF"/>
    <w:rsid w:val="00E04A08"/>
    <w:rsid w:val="00E06538"/>
    <w:rsid w:val="00E10AA6"/>
    <w:rsid w:val="00E121F4"/>
    <w:rsid w:val="00E211D4"/>
    <w:rsid w:val="00E21697"/>
    <w:rsid w:val="00E240FB"/>
    <w:rsid w:val="00E24BD7"/>
    <w:rsid w:val="00E252AB"/>
    <w:rsid w:val="00E31206"/>
    <w:rsid w:val="00E32BE1"/>
    <w:rsid w:val="00E34B2D"/>
    <w:rsid w:val="00E37233"/>
    <w:rsid w:val="00E41546"/>
    <w:rsid w:val="00E43AFA"/>
    <w:rsid w:val="00E50931"/>
    <w:rsid w:val="00E52D77"/>
    <w:rsid w:val="00E5542B"/>
    <w:rsid w:val="00E555DD"/>
    <w:rsid w:val="00E5752D"/>
    <w:rsid w:val="00E6435D"/>
    <w:rsid w:val="00E7009E"/>
    <w:rsid w:val="00E71280"/>
    <w:rsid w:val="00E7530D"/>
    <w:rsid w:val="00E7711D"/>
    <w:rsid w:val="00E81600"/>
    <w:rsid w:val="00E81FE8"/>
    <w:rsid w:val="00E837C2"/>
    <w:rsid w:val="00E858DD"/>
    <w:rsid w:val="00E90E41"/>
    <w:rsid w:val="00EA32FE"/>
    <w:rsid w:val="00EA4D7E"/>
    <w:rsid w:val="00EA7FBA"/>
    <w:rsid w:val="00EB19D4"/>
    <w:rsid w:val="00EB4326"/>
    <w:rsid w:val="00EB48A5"/>
    <w:rsid w:val="00EB48E1"/>
    <w:rsid w:val="00EB53EC"/>
    <w:rsid w:val="00EB7B13"/>
    <w:rsid w:val="00EC1073"/>
    <w:rsid w:val="00EC19EE"/>
    <w:rsid w:val="00EC2C78"/>
    <w:rsid w:val="00EC55D7"/>
    <w:rsid w:val="00EC5F85"/>
    <w:rsid w:val="00ED22D6"/>
    <w:rsid w:val="00ED2C0C"/>
    <w:rsid w:val="00ED3702"/>
    <w:rsid w:val="00ED3C7C"/>
    <w:rsid w:val="00ED4A09"/>
    <w:rsid w:val="00EE1D6E"/>
    <w:rsid w:val="00EE66E1"/>
    <w:rsid w:val="00EF0FFD"/>
    <w:rsid w:val="00EF2CA7"/>
    <w:rsid w:val="00EF436B"/>
    <w:rsid w:val="00EF4574"/>
    <w:rsid w:val="00F05FB9"/>
    <w:rsid w:val="00F07864"/>
    <w:rsid w:val="00F10023"/>
    <w:rsid w:val="00F1043C"/>
    <w:rsid w:val="00F127B3"/>
    <w:rsid w:val="00F13DE4"/>
    <w:rsid w:val="00F148E1"/>
    <w:rsid w:val="00F14FB0"/>
    <w:rsid w:val="00F161C1"/>
    <w:rsid w:val="00F204B2"/>
    <w:rsid w:val="00F23150"/>
    <w:rsid w:val="00F2337C"/>
    <w:rsid w:val="00F23CAE"/>
    <w:rsid w:val="00F24963"/>
    <w:rsid w:val="00F267D3"/>
    <w:rsid w:val="00F26F0D"/>
    <w:rsid w:val="00F33E68"/>
    <w:rsid w:val="00F36E64"/>
    <w:rsid w:val="00F407FE"/>
    <w:rsid w:val="00F41C68"/>
    <w:rsid w:val="00F43536"/>
    <w:rsid w:val="00F439C3"/>
    <w:rsid w:val="00F4654F"/>
    <w:rsid w:val="00F47365"/>
    <w:rsid w:val="00F55558"/>
    <w:rsid w:val="00F56A39"/>
    <w:rsid w:val="00F67681"/>
    <w:rsid w:val="00F7200C"/>
    <w:rsid w:val="00F83819"/>
    <w:rsid w:val="00F85313"/>
    <w:rsid w:val="00F85FB9"/>
    <w:rsid w:val="00F8636B"/>
    <w:rsid w:val="00F86A2F"/>
    <w:rsid w:val="00F9493C"/>
    <w:rsid w:val="00F96132"/>
    <w:rsid w:val="00FA0EF2"/>
    <w:rsid w:val="00FA489C"/>
    <w:rsid w:val="00FA5E7A"/>
    <w:rsid w:val="00FA6B78"/>
    <w:rsid w:val="00FB0137"/>
    <w:rsid w:val="00FB2AFB"/>
    <w:rsid w:val="00FB2D7A"/>
    <w:rsid w:val="00FB563B"/>
    <w:rsid w:val="00FB6EF5"/>
    <w:rsid w:val="00FC0971"/>
    <w:rsid w:val="00FC0DB0"/>
    <w:rsid w:val="00FC1252"/>
    <w:rsid w:val="00FC20C3"/>
    <w:rsid w:val="00FC3C49"/>
    <w:rsid w:val="00FC3E5F"/>
    <w:rsid w:val="00FC42F0"/>
    <w:rsid w:val="00FC558E"/>
    <w:rsid w:val="00FD45DA"/>
    <w:rsid w:val="00FD73F5"/>
    <w:rsid w:val="00FE09D1"/>
    <w:rsid w:val="00FE577A"/>
    <w:rsid w:val="00FE7C5F"/>
    <w:rsid w:val="00FF31F4"/>
    <w:rsid w:val="00FF447D"/>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6B041"/>
  <w14:defaultImageDpi w14:val="300"/>
  <w15:docId w15:val="{DA18EC5B-DE89-2247-9357-4824671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059"/>
    <w:rPr>
      <w:sz w:val="24"/>
      <w:szCs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0653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MS Gothic" w:hAnsi="Calibri"/>
    </w:rPr>
  </w:style>
  <w:style w:type="character" w:customStyle="1" w:styleId="SubtitleChar">
    <w:name w:val="Subtitle Char"/>
    <w:link w:val="Subtitle"/>
    <w:rsid w:val="00AB7C42"/>
    <w:rPr>
      <w:rFonts w:ascii="Calibri" w:eastAsia="MS Gothic" w:hAnsi="Calibri" w:cs="Times New Roman"/>
      <w:sz w:val="24"/>
      <w:szCs w:val="24"/>
    </w:rPr>
  </w:style>
  <w:style w:type="character" w:customStyle="1" w:styleId="Heading2Char">
    <w:name w:val="Heading 2 Char"/>
    <w:basedOn w:val="DefaultParagraphFont"/>
    <w:link w:val="Heading2"/>
    <w:semiHidden/>
    <w:rsid w:val="00E06538"/>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F204B2"/>
    <w:pPr>
      <w:ind w:left="720"/>
      <w:contextualSpacing/>
    </w:pPr>
    <w:rPr>
      <w:rFonts w:asciiTheme="minorHAnsi" w:eastAsiaTheme="minorHAnsi" w:hAnsiTheme="minorHAnsi" w:cstheme="minorBidi"/>
    </w:rPr>
  </w:style>
  <w:style w:type="character" w:customStyle="1" w:styleId="markedcontent">
    <w:name w:val="markedcontent"/>
    <w:basedOn w:val="DefaultParagraphFont"/>
    <w:rsid w:val="00F204B2"/>
  </w:style>
  <w:style w:type="character" w:customStyle="1" w:styleId="lrzxr">
    <w:name w:val="lrzxr"/>
    <w:basedOn w:val="DefaultParagraphFont"/>
    <w:rsid w:val="00F204B2"/>
  </w:style>
  <w:style w:type="character" w:styleId="Strong">
    <w:name w:val="Strong"/>
    <w:basedOn w:val="DefaultParagraphFont"/>
    <w:uiPriority w:val="22"/>
    <w:qFormat/>
    <w:rsid w:val="00F20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958">
      <w:bodyDiv w:val="1"/>
      <w:marLeft w:val="0"/>
      <w:marRight w:val="0"/>
      <w:marTop w:val="0"/>
      <w:marBottom w:val="0"/>
      <w:divBdr>
        <w:top w:val="none" w:sz="0" w:space="0" w:color="auto"/>
        <w:left w:val="none" w:sz="0" w:space="0" w:color="auto"/>
        <w:bottom w:val="none" w:sz="0" w:space="0" w:color="auto"/>
        <w:right w:val="none" w:sz="0" w:space="0" w:color="auto"/>
      </w:divBdr>
    </w:div>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195385605">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39771658">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68796">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81206401">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034305568">
      <w:bodyDiv w:val="1"/>
      <w:marLeft w:val="0"/>
      <w:marRight w:val="0"/>
      <w:marTop w:val="0"/>
      <w:marBottom w:val="0"/>
      <w:divBdr>
        <w:top w:val="none" w:sz="0" w:space="0" w:color="auto"/>
        <w:left w:val="none" w:sz="0" w:space="0" w:color="auto"/>
        <w:bottom w:val="none" w:sz="0" w:space="0" w:color="auto"/>
        <w:right w:val="none" w:sz="0" w:space="0" w:color="auto"/>
      </w:divBdr>
    </w:div>
    <w:div w:id="1064376355">
      <w:bodyDiv w:val="1"/>
      <w:marLeft w:val="0"/>
      <w:marRight w:val="0"/>
      <w:marTop w:val="0"/>
      <w:marBottom w:val="0"/>
      <w:divBdr>
        <w:top w:val="none" w:sz="0" w:space="0" w:color="auto"/>
        <w:left w:val="none" w:sz="0" w:space="0" w:color="auto"/>
        <w:bottom w:val="none" w:sz="0" w:space="0" w:color="auto"/>
        <w:right w:val="none" w:sz="0" w:space="0" w:color="auto"/>
      </w:divBdr>
    </w:div>
    <w:div w:id="1119836330">
      <w:bodyDiv w:val="1"/>
      <w:marLeft w:val="0"/>
      <w:marRight w:val="0"/>
      <w:marTop w:val="0"/>
      <w:marBottom w:val="0"/>
      <w:divBdr>
        <w:top w:val="none" w:sz="0" w:space="0" w:color="auto"/>
        <w:left w:val="none" w:sz="0" w:space="0" w:color="auto"/>
        <w:bottom w:val="none" w:sz="0" w:space="0" w:color="auto"/>
        <w:right w:val="none" w:sz="0" w:space="0" w:color="auto"/>
      </w:divBdr>
    </w:div>
    <w:div w:id="1265960515">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84024387">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810827357">
      <w:bodyDiv w:val="1"/>
      <w:marLeft w:val="0"/>
      <w:marRight w:val="0"/>
      <w:marTop w:val="0"/>
      <w:marBottom w:val="0"/>
      <w:divBdr>
        <w:top w:val="none" w:sz="0" w:space="0" w:color="auto"/>
        <w:left w:val="none" w:sz="0" w:space="0" w:color="auto"/>
        <w:bottom w:val="none" w:sz="0" w:space="0" w:color="auto"/>
        <w:right w:val="none" w:sz="0" w:space="0" w:color="auto"/>
      </w:divBdr>
    </w:div>
    <w:div w:id="1822578565">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8</TotalTime>
  <Pages>4</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11363</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8</cp:revision>
  <cp:lastPrinted>2022-01-10T22:34:00Z</cp:lastPrinted>
  <dcterms:created xsi:type="dcterms:W3CDTF">2022-08-22T19:24:00Z</dcterms:created>
  <dcterms:modified xsi:type="dcterms:W3CDTF">2023-09-28T21:40:00Z</dcterms:modified>
</cp:coreProperties>
</file>