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D79B" w14:textId="77777777" w:rsidR="00757BCF" w:rsidRPr="003C347C" w:rsidRDefault="00757BCF" w:rsidP="00032D97">
      <w:pPr>
        <w:ind w:right="-360"/>
        <w:contextualSpacing/>
        <w:jc w:val="center"/>
        <w:rPr>
          <w:b/>
          <w:color w:val="000000" w:themeColor="text1"/>
          <w:sz w:val="30"/>
          <w:szCs w:val="30"/>
        </w:rPr>
      </w:pPr>
    </w:p>
    <w:p w14:paraId="3C605450" w14:textId="77777777" w:rsidR="00757BCF" w:rsidRPr="003C347C" w:rsidRDefault="00757BCF" w:rsidP="00032D97">
      <w:pPr>
        <w:ind w:right="-360"/>
        <w:contextualSpacing/>
        <w:jc w:val="center"/>
        <w:rPr>
          <w:b/>
          <w:color w:val="000000" w:themeColor="text1"/>
          <w:sz w:val="30"/>
          <w:szCs w:val="30"/>
        </w:rPr>
      </w:pPr>
    </w:p>
    <w:p w14:paraId="568F5668" w14:textId="77777777" w:rsidR="00757BCF" w:rsidRPr="003C347C" w:rsidRDefault="00757BCF" w:rsidP="00032D97">
      <w:pPr>
        <w:ind w:right="-360"/>
        <w:contextualSpacing/>
        <w:jc w:val="center"/>
        <w:rPr>
          <w:b/>
          <w:color w:val="000000" w:themeColor="text1"/>
          <w:sz w:val="30"/>
          <w:szCs w:val="30"/>
        </w:rPr>
      </w:pPr>
      <w:r w:rsidRPr="003C347C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0" locked="0" layoutInCell="1" allowOverlap="1" wp14:anchorId="0D0F937E" wp14:editId="299A04CB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2A959" w14:textId="77777777" w:rsidR="00757BCF" w:rsidRPr="003C347C" w:rsidRDefault="00757BCF" w:rsidP="00032D97">
      <w:pPr>
        <w:ind w:right="-360"/>
        <w:contextualSpacing/>
        <w:rPr>
          <w:b/>
          <w:i/>
          <w:color w:val="000000" w:themeColor="text1"/>
        </w:rPr>
      </w:pPr>
    </w:p>
    <w:p w14:paraId="1F57A5CF" w14:textId="77777777" w:rsidR="00757BCF" w:rsidRPr="003C347C" w:rsidRDefault="00757BCF" w:rsidP="00032D97">
      <w:pPr>
        <w:ind w:right="-360"/>
        <w:contextualSpacing/>
        <w:rPr>
          <w:b/>
          <w:i/>
          <w:color w:val="000000" w:themeColor="text1"/>
        </w:rPr>
      </w:pPr>
    </w:p>
    <w:p w14:paraId="0080ADF3" w14:textId="77777777" w:rsidR="00757BCF" w:rsidRPr="003C347C" w:rsidRDefault="00757BCF" w:rsidP="00032D97">
      <w:pPr>
        <w:ind w:right="-360"/>
        <w:contextualSpacing/>
        <w:rPr>
          <w:b/>
          <w:i/>
          <w:color w:val="000000" w:themeColor="text1"/>
        </w:rPr>
      </w:pPr>
    </w:p>
    <w:p w14:paraId="639DFC25" w14:textId="77777777" w:rsidR="00757BCF" w:rsidRPr="003C347C" w:rsidRDefault="00757BCF" w:rsidP="00032D97">
      <w:pPr>
        <w:ind w:right="-360"/>
        <w:contextualSpacing/>
        <w:rPr>
          <w:b/>
          <w:i/>
          <w:color w:val="000000" w:themeColor="text1"/>
        </w:rPr>
      </w:pPr>
    </w:p>
    <w:p w14:paraId="3EDF127A" w14:textId="77777777" w:rsidR="00757BCF" w:rsidRPr="003C347C" w:rsidRDefault="00757BCF" w:rsidP="00032D97">
      <w:pPr>
        <w:ind w:right="-360"/>
        <w:contextualSpacing/>
        <w:outlineLvl w:val="0"/>
        <w:rPr>
          <w:i/>
          <w:color w:val="000000" w:themeColor="text1"/>
        </w:rPr>
      </w:pPr>
      <w:r w:rsidRPr="003C347C">
        <w:rPr>
          <w:i/>
          <w:color w:val="000000" w:themeColor="text1"/>
        </w:rPr>
        <w:t>Media</w:t>
      </w:r>
      <w:r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contact:</w:t>
      </w:r>
      <w:r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Heather</w:t>
      </w:r>
      <w:r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West,</w:t>
      </w:r>
      <w:r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612-724-8760,</w:t>
      </w:r>
      <w:r>
        <w:rPr>
          <w:i/>
          <w:color w:val="000000" w:themeColor="text1"/>
        </w:rPr>
        <w:t xml:space="preserve"> </w:t>
      </w:r>
      <w:r w:rsidRPr="003C347C">
        <w:rPr>
          <w:i/>
          <w:color w:val="000000" w:themeColor="text1"/>
        </w:rPr>
        <w:t>heather@heatherwestpr.com</w:t>
      </w:r>
    </w:p>
    <w:p w14:paraId="0ED49B01" w14:textId="77777777" w:rsidR="00757BCF" w:rsidRPr="003C347C" w:rsidRDefault="00757BCF" w:rsidP="00032D97">
      <w:pPr>
        <w:ind w:right="-360"/>
        <w:contextualSpacing/>
        <w:rPr>
          <w:i/>
          <w:color w:val="000000" w:themeColor="text1"/>
        </w:rPr>
      </w:pPr>
    </w:p>
    <w:p w14:paraId="0D4B302F" w14:textId="535B96E9" w:rsidR="00757BCF" w:rsidRDefault="00413F32" w:rsidP="00032D97">
      <w:pPr>
        <w:ind w:right="-360"/>
        <w:contextualSpacing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Kolbe off</w:t>
      </w:r>
      <w:r w:rsidR="00A85AF2">
        <w:rPr>
          <w:b/>
          <w:color w:val="000000" w:themeColor="text1"/>
          <w:sz w:val="30"/>
          <w:szCs w:val="30"/>
        </w:rPr>
        <w:t xml:space="preserve">icially </w:t>
      </w:r>
      <w:r w:rsidR="008E3EA2">
        <w:rPr>
          <w:b/>
          <w:color w:val="000000" w:themeColor="text1"/>
          <w:sz w:val="30"/>
          <w:szCs w:val="30"/>
        </w:rPr>
        <w:t>l</w:t>
      </w:r>
      <w:r w:rsidR="00A85AF2">
        <w:rPr>
          <w:b/>
          <w:color w:val="000000" w:themeColor="text1"/>
          <w:sz w:val="30"/>
          <w:szCs w:val="30"/>
        </w:rPr>
        <w:t xml:space="preserve">aunches LuxWall </w:t>
      </w:r>
      <w:r w:rsidR="008E3EA2">
        <w:rPr>
          <w:b/>
          <w:color w:val="000000" w:themeColor="text1"/>
          <w:sz w:val="30"/>
          <w:szCs w:val="30"/>
        </w:rPr>
        <w:t>v</w:t>
      </w:r>
      <w:r w:rsidR="00907A8D">
        <w:rPr>
          <w:b/>
          <w:color w:val="000000" w:themeColor="text1"/>
          <w:sz w:val="30"/>
          <w:szCs w:val="30"/>
        </w:rPr>
        <w:t xml:space="preserve">acuum </w:t>
      </w:r>
      <w:r w:rsidR="008E3EA2">
        <w:rPr>
          <w:b/>
          <w:color w:val="000000" w:themeColor="text1"/>
          <w:sz w:val="30"/>
          <w:szCs w:val="30"/>
        </w:rPr>
        <w:t>i</w:t>
      </w:r>
      <w:r w:rsidR="00907A8D">
        <w:rPr>
          <w:b/>
          <w:color w:val="000000" w:themeColor="text1"/>
          <w:sz w:val="30"/>
          <w:szCs w:val="30"/>
        </w:rPr>
        <w:t xml:space="preserve">nsulating </w:t>
      </w:r>
      <w:r w:rsidR="008E3EA2">
        <w:rPr>
          <w:b/>
          <w:color w:val="000000" w:themeColor="text1"/>
          <w:sz w:val="30"/>
          <w:szCs w:val="30"/>
        </w:rPr>
        <w:t>g</w:t>
      </w:r>
      <w:r w:rsidR="00A85AF2">
        <w:rPr>
          <w:b/>
          <w:color w:val="000000" w:themeColor="text1"/>
          <w:sz w:val="30"/>
          <w:szCs w:val="30"/>
        </w:rPr>
        <w:t xml:space="preserve">lass </w:t>
      </w:r>
      <w:r w:rsidR="008E3EA2">
        <w:rPr>
          <w:b/>
          <w:color w:val="000000" w:themeColor="text1"/>
          <w:sz w:val="30"/>
          <w:szCs w:val="30"/>
        </w:rPr>
        <w:t>o</w:t>
      </w:r>
      <w:r w:rsidR="00A85AF2">
        <w:rPr>
          <w:b/>
          <w:color w:val="000000" w:themeColor="text1"/>
          <w:sz w:val="30"/>
          <w:szCs w:val="30"/>
        </w:rPr>
        <w:t>ptions</w:t>
      </w:r>
    </w:p>
    <w:p w14:paraId="1884451B" w14:textId="77777777" w:rsidR="00757BCF" w:rsidRPr="009A405D" w:rsidRDefault="00757BCF" w:rsidP="00032D97">
      <w:pPr>
        <w:ind w:right="-360"/>
        <w:contextualSpacing/>
        <w:jc w:val="center"/>
        <w:rPr>
          <w:color w:val="000000" w:themeColor="text1"/>
        </w:rPr>
      </w:pPr>
    </w:p>
    <w:p w14:paraId="324A69A8" w14:textId="624A317F" w:rsidR="00757BCF" w:rsidRPr="00032D97" w:rsidRDefault="00A27416" w:rsidP="00032D97">
      <w:pPr>
        <w:ind w:right="-360"/>
        <w:contextualSpacing/>
        <w:rPr>
          <w:color w:val="000000" w:themeColor="text1"/>
          <w:sz w:val="22"/>
          <w:szCs w:val="22"/>
        </w:rPr>
      </w:pPr>
      <w:r w:rsidRPr="00032D97">
        <w:rPr>
          <w:color w:val="000000" w:themeColor="text1"/>
          <w:sz w:val="22"/>
          <w:szCs w:val="22"/>
        </w:rPr>
        <w:t>Wausau, Wisconsin (August 2025)</w:t>
      </w:r>
      <w:r w:rsidR="00B82710" w:rsidRPr="00032D97">
        <w:rPr>
          <w:color w:val="000000" w:themeColor="text1"/>
          <w:sz w:val="22"/>
          <w:szCs w:val="22"/>
        </w:rPr>
        <w:t xml:space="preserve"> </w:t>
      </w:r>
      <w:r w:rsidRPr="00032D97">
        <w:rPr>
          <w:color w:val="000000" w:themeColor="text1"/>
          <w:sz w:val="22"/>
          <w:szCs w:val="22"/>
        </w:rPr>
        <w:t xml:space="preserve">– </w:t>
      </w:r>
      <w:r w:rsidR="00972E01" w:rsidRPr="00032D97">
        <w:rPr>
          <w:color w:val="000000" w:themeColor="text1"/>
          <w:sz w:val="22"/>
          <w:szCs w:val="22"/>
        </w:rPr>
        <w:t>Kolbe Windows &amp; Doors officially launched its latest performance glass solution</w:t>
      </w:r>
      <w:r w:rsidR="00907A8D" w:rsidRPr="00032D97">
        <w:rPr>
          <w:color w:val="000000" w:themeColor="text1"/>
          <w:sz w:val="22"/>
          <w:szCs w:val="22"/>
        </w:rPr>
        <w:t>s</w:t>
      </w:r>
      <w:r w:rsidR="00972E01" w:rsidRPr="00032D97">
        <w:rPr>
          <w:color w:val="000000" w:themeColor="text1"/>
          <w:sz w:val="22"/>
          <w:szCs w:val="22"/>
        </w:rPr>
        <w:t>, integrating vacuum insulating glass (VIG)</w:t>
      </w:r>
      <w:r w:rsidR="00907A8D" w:rsidRPr="00032D97">
        <w:rPr>
          <w:color w:val="000000" w:themeColor="text1"/>
          <w:sz w:val="22"/>
          <w:szCs w:val="22"/>
        </w:rPr>
        <w:t xml:space="preserve"> options</w:t>
      </w:r>
      <w:r w:rsidR="00972E01" w:rsidRPr="00032D97">
        <w:rPr>
          <w:color w:val="000000" w:themeColor="text1"/>
          <w:sz w:val="22"/>
          <w:szCs w:val="22"/>
        </w:rPr>
        <w:t xml:space="preserve"> from LuxWall, Inc. into select</w:t>
      </w:r>
      <w:r w:rsidR="00907A8D" w:rsidRPr="00032D97">
        <w:rPr>
          <w:color w:val="000000" w:themeColor="text1"/>
          <w:sz w:val="22"/>
          <w:szCs w:val="22"/>
        </w:rPr>
        <w:t>ed</w:t>
      </w:r>
      <w:r w:rsidR="00972E01" w:rsidRPr="00032D97">
        <w:rPr>
          <w:color w:val="000000" w:themeColor="text1"/>
          <w:sz w:val="22"/>
          <w:szCs w:val="22"/>
        </w:rPr>
        <w:t xml:space="preserve"> window and door products. This milestone reinforces Kolbe’s commitment to delivering high-performance, energy-efficient solutions to the market.</w:t>
      </w:r>
    </w:p>
    <w:p w14:paraId="1FFAB379" w14:textId="77777777" w:rsidR="00907A8D" w:rsidRPr="00032D97" w:rsidRDefault="00907A8D" w:rsidP="00032D97">
      <w:pPr>
        <w:ind w:right="-360"/>
        <w:contextualSpacing/>
        <w:rPr>
          <w:color w:val="000000" w:themeColor="text1"/>
          <w:sz w:val="22"/>
          <w:szCs w:val="22"/>
        </w:rPr>
      </w:pPr>
    </w:p>
    <w:p w14:paraId="73468913" w14:textId="32C59C8E" w:rsidR="00F40C97" w:rsidRPr="00032D97" w:rsidRDefault="00376FD9" w:rsidP="00032D97">
      <w:pPr>
        <w:ind w:right="-360"/>
        <w:contextualSpacing/>
        <w:rPr>
          <w:color w:val="000000" w:themeColor="text1"/>
          <w:sz w:val="22"/>
          <w:szCs w:val="22"/>
        </w:rPr>
      </w:pPr>
      <w:r w:rsidRPr="00032D97">
        <w:rPr>
          <w:color w:val="000000" w:themeColor="text1"/>
          <w:sz w:val="22"/>
          <w:szCs w:val="22"/>
        </w:rPr>
        <w:t xml:space="preserve">“Innovative and adaptable solutions like </w:t>
      </w:r>
      <w:r w:rsidR="00907A8D" w:rsidRPr="00032D97">
        <w:rPr>
          <w:color w:val="000000" w:themeColor="text1"/>
          <w:sz w:val="22"/>
          <w:szCs w:val="22"/>
        </w:rPr>
        <w:t>the VIG from LuxWall</w:t>
      </w:r>
      <w:r w:rsidRPr="00032D97">
        <w:rPr>
          <w:color w:val="000000" w:themeColor="text1"/>
          <w:sz w:val="22"/>
          <w:szCs w:val="22"/>
        </w:rPr>
        <w:t xml:space="preserve"> reflect Kolbe’s ongoing commitment to pushing the boundaries of performance and design,” said Jeff De Lonay, </w:t>
      </w:r>
      <w:r w:rsidR="00B82710" w:rsidRPr="00032D97">
        <w:rPr>
          <w:color w:val="000000" w:themeColor="text1"/>
          <w:sz w:val="22"/>
          <w:szCs w:val="22"/>
        </w:rPr>
        <w:t>p</w:t>
      </w:r>
      <w:r w:rsidRPr="00032D97">
        <w:rPr>
          <w:color w:val="000000" w:themeColor="text1"/>
          <w:sz w:val="22"/>
          <w:szCs w:val="22"/>
        </w:rPr>
        <w:t xml:space="preserve">resident of Kolbe Windows &amp; Doors. “Our partnership with LuxWall </w:t>
      </w:r>
      <w:r w:rsidR="00EF05DF" w:rsidRPr="00032D97">
        <w:rPr>
          <w:color w:val="000000" w:themeColor="text1"/>
          <w:sz w:val="22"/>
          <w:szCs w:val="22"/>
        </w:rPr>
        <w:t>empowers architects and builders to meet energy goals while maintaining aesthetic and functional flexibility</w:t>
      </w:r>
      <w:r w:rsidRPr="00032D97">
        <w:rPr>
          <w:color w:val="000000" w:themeColor="text1"/>
          <w:sz w:val="22"/>
          <w:szCs w:val="22"/>
        </w:rPr>
        <w:t>.”</w:t>
      </w:r>
    </w:p>
    <w:p w14:paraId="52940648" w14:textId="77777777" w:rsidR="00907A8D" w:rsidRPr="00032D97" w:rsidRDefault="00907A8D" w:rsidP="00032D97">
      <w:pPr>
        <w:ind w:right="-360"/>
        <w:contextualSpacing/>
        <w:rPr>
          <w:color w:val="000000" w:themeColor="text1"/>
          <w:sz w:val="22"/>
          <w:szCs w:val="22"/>
        </w:rPr>
      </w:pPr>
    </w:p>
    <w:p w14:paraId="64EC4488" w14:textId="47E4CCFA" w:rsidR="00651A2F" w:rsidRPr="00032D97" w:rsidRDefault="00651A2F" w:rsidP="00032D97">
      <w:pPr>
        <w:ind w:right="-360"/>
        <w:contextualSpacing/>
        <w:rPr>
          <w:color w:val="000000" w:themeColor="text1"/>
          <w:sz w:val="22"/>
          <w:szCs w:val="22"/>
        </w:rPr>
      </w:pPr>
      <w:r w:rsidRPr="00032D97">
        <w:rPr>
          <w:color w:val="000000" w:themeColor="text1"/>
          <w:sz w:val="22"/>
          <w:szCs w:val="22"/>
        </w:rPr>
        <w:t xml:space="preserve">Unlike standard insulated glass units that use air, argon or krypton, VIG </w:t>
      </w:r>
      <w:r w:rsidR="00443ADC" w:rsidRPr="00032D97">
        <w:rPr>
          <w:color w:val="000000" w:themeColor="text1"/>
          <w:sz w:val="22"/>
          <w:szCs w:val="22"/>
        </w:rPr>
        <w:t>features</w:t>
      </w:r>
      <w:r w:rsidR="00261247" w:rsidRPr="00032D97">
        <w:rPr>
          <w:color w:val="000000" w:themeColor="text1"/>
          <w:sz w:val="22"/>
          <w:szCs w:val="22"/>
        </w:rPr>
        <w:t xml:space="preserve"> </w:t>
      </w:r>
      <w:r w:rsidRPr="00032D97">
        <w:rPr>
          <w:color w:val="000000" w:themeColor="text1"/>
          <w:sz w:val="22"/>
          <w:szCs w:val="22"/>
        </w:rPr>
        <w:t>a small, virtually airless vacuum space between two panes of glass.</w:t>
      </w:r>
      <w:r w:rsidR="00D57701" w:rsidRPr="00032D97">
        <w:rPr>
          <w:b/>
          <w:bCs/>
          <w:color w:val="000000" w:themeColor="text1"/>
          <w:sz w:val="22"/>
          <w:szCs w:val="22"/>
        </w:rPr>
        <w:t xml:space="preserve"> </w:t>
      </w:r>
      <w:r w:rsidR="001331F8" w:rsidRPr="00032D97">
        <w:rPr>
          <w:color w:val="000000" w:themeColor="text1"/>
          <w:sz w:val="22"/>
          <w:szCs w:val="22"/>
        </w:rPr>
        <w:t>This construction</w:t>
      </w:r>
      <w:r w:rsidR="00D57701" w:rsidRPr="00032D97">
        <w:rPr>
          <w:color w:val="000000" w:themeColor="text1"/>
          <w:sz w:val="22"/>
          <w:szCs w:val="22"/>
        </w:rPr>
        <w:t xml:space="preserve"> </w:t>
      </w:r>
      <w:r w:rsidR="00A76F92" w:rsidRPr="00032D97">
        <w:rPr>
          <w:color w:val="000000" w:themeColor="text1"/>
          <w:sz w:val="22"/>
          <w:szCs w:val="22"/>
        </w:rPr>
        <w:t xml:space="preserve">creates </w:t>
      </w:r>
      <w:r w:rsidR="00366257" w:rsidRPr="00032D97">
        <w:rPr>
          <w:color w:val="000000" w:themeColor="text1"/>
          <w:sz w:val="22"/>
          <w:szCs w:val="22"/>
        </w:rPr>
        <w:t xml:space="preserve">improved </w:t>
      </w:r>
      <w:r w:rsidR="00D57701" w:rsidRPr="00032D97">
        <w:rPr>
          <w:color w:val="000000" w:themeColor="text1"/>
          <w:sz w:val="22"/>
          <w:szCs w:val="22"/>
        </w:rPr>
        <w:t xml:space="preserve">thermal insulation, making it well-suited for </w:t>
      </w:r>
      <w:r w:rsidR="00366257" w:rsidRPr="00032D97">
        <w:rPr>
          <w:color w:val="000000" w:themeColor="text1"/>
          <w:sz w:val="22"/>
          <w:szCs w:val="22"/>
        </w:rPr>
        <w:t xml:space="preserve">comfort-enhancing, </w:t>
      </w:r>
      <w:r w:rsidR="00D57701" w:rsidRPr="00032D97">
        <w:rPr>
          <w:color w:val="000000" w:themeColor="text1"/>
          <w:sz w:val="22"/>
          <w:szCs w:val="22"/>
        </w:rPr>
        <w:t>energy-efficient upgrades in both new construction and replacement applications</w:t>
      </w:r>
      <w:r w:rsidR="00193ED6" w:rsidRPr="00032D97">
        <w:rPr>
          <w:color w:val="000000" w:themeColor="text1"/>
          <w:sz w:val="22"/>
          <w:szCs w:val="22"/>
        </w:rPr>
        <w:t xml:space="preserve">, </w:t>
      </w:r>
      <w:r w:rsidR="00D57701" w:rsidRPr="00032D97">
        <w:rPr>
          <w:color w:val="000000" w:themeColor="text1"/>
          <w:sz w:val="22"/>
          <w:szCs w:val="22"/>
        </w:rPr>
        <w:t xml:space="preserve">including historic </w:t>
      </w:r>
      <w:r w:rsidR="00134187" w:rsidRPr="00032D97">
        <w:rPr>
          <w:color w:val="000000" w:themeColor="text1"/>
          <w:sz w:val="22"/>
          <w:szCs w:val="22"/>
        </w:rPr>
        <w:t>restoration</w:t>
      </w:r>
      <w:r w:rsidR="00D57701" w:rsidRPr="00032D97">
        <w:rPr>
          <w:color w:val="000000" w:themeColor="text1"/>
          <w:sz w:val="22"/>
          <w:szCs w:val="22"/>
        </w:rPr>
        <w:t xml:space="preserve"> projects, single- and multi-family residential developments, </w:t>
      </w:r>
      <w:r w:rsidR="002E170D" w:rsidRPr="00032D97">
        <w:rPr>
          <w:color w:val="000000" w:themeColor="text1"/>
          <w:sz w:val="22"/>
          <w:szCs w:val="22"/>
        </w:rPr>
        <w:t>and</w:t>
      </w:r>
      <w:r w:rsidR="00D57701" w:rsidRPr="00032D97">
        <w:rPr>
          <w:color w:val="000000" w:themeColor="text1"/>
          <w:sz w:val="22"/>
          <w:szCs w:val="22"/>
        </w:rPr>
        <w:t xml:space="preserve"> commercial </w:t>
      </w:r>
      <w:r w:rsidR="001331F8" w:rsidRPr="00032D97">
        <w:rPr>
          <w:color w:val="000000" w:themeColor="text1"/>
          <w:sz w:val="22"/>
          <w:szCs w:val="22"/>
        </w:rPr>
        <w:t xml:space="preserve">settings </w:t>
      </w:r>
      <w:r w:rsidR="00366257" w:rsidRPr="00032D97">
        <w:rPr>
          <w:color w:val="000000" w:themeColor="text1"/>
          <w:sz w:val="22"/>
          <w:szCs w:val="22"/>
        </w:rPr>
        <w:t xml:space="preserve">where </w:t>
      </w:r>
      <w:r w:rsidR="001331F8" w:rsidRPr="00032D97">
        <w:rPr>
          <w:color w:val="000000" w:themeColor="text1"/>
          <w:sz w:val="22"/>
          <w:szCs w:val="22"/>
        </w:rPr>
        <w:t>additional constraints and standards</w:t>
      </w:r>
      <w:r w:rsidR="00366257" w:rsidRPr="00032D97">
        <w:rPr>
          <w:color w:val="000000" w:themeColor="text1"/>
          <w:sz w:val="22"/>
          <w:szCs w:val="22"/>
        </w:rPr>
        <w:t xml:space="preserve"> may need to be met</w:t>
      </w:r>
      <w:r w:rsidR="00D57701" w:rsidRPr="00032D97">
        <w:rPr>
          <w:color w:val="000000" w:themeColor="text1"/>
          <w:sz w:val="22"/>
          <w:szCs w:val="22"/>
        </w:rPr>
        <w:t>.</w:t>
      </w:r>
    </w:p>
    <w:p w14:paraId="75463B3E" w14:textId="77777777" w:rsidR="00907A8D" w:rsidRPr="00032D97" w:rsidRDefault="00907A8D" w:rsidP="00032D97">
      <w:pPr>
        <w:ind w:right="-360"/>
        <w:contextualSpacing/>
        <w:rPr>
          <w:color w:val="000000" w:themeColor="text1"/>
          <w:sz w:val="22"/>
          <w:szCs w:val="22"/>
        </w:rPr>
      </w:pPr>
    </w:p>
    <w:p w14:paraId="570E10BD" w14:textId="77777777" w:rsidR="00651A2F" w:rsidRPr="00032D97" w:rsidRDefault="00651A2F" w:rsidP="00032D97">
      <w:pPr>
        <w:ind w:right="-360"/>
        <w:contextualSpacing/>
        <w:rPr>
          <w:color w:val="000000" w:themeColor="text1"/>
          <w:sz w:val="22"/>
          <w:szCs w:val="22"/>
        </w:rPr>
      </w:pPr>
      <w:r w:rsidRPr="00032D97">
        <w:rPr>
          <w:color w:val="000000" w:themeColor="text1"/>
          <w:sz w:val="22"/>
          <w:szCs w:val="22"/>
        </w:rPr>
        <w:t>LuxWall’s VIG offerings include:</w:t>
      </w:r>
    </w:p>
    <w:p w14:paraId="51A4FBC0" w14:textId="2F987055" w:rsidR="00651A2F" w:rsidRPr="00032D97" w:rsidRDefault="00651A2F" w:rsidP="00032D97">
      <w:pPr>
        <w:numPr>
          <w:ilvl w:val="0"/>
          <w:numId w:val="2"/>
        </w:numPr>
        <w:ind w:right="-360"/>
        <w:contextualSpacing/>
        <w:rPr>
          <w:color w:val="000000" w:themeColor="text1"/>
          <w:sz w:val="22"/>
          <w:szCs w:val="22"/>
        </w:rPr>
      </w:pPr>
      <w:r w:rsidRPr="00032D97">
        <w:rPr>
          <w:b/>
          <w:bCs/>
          <w:color w:val="000000" w:themeColor="text1"/>
          <w:sz w:val="22"/>
          <w:szCs w:val="22"/>
        </w:rPr>
        <w:t>Enthermal</w:t>
      </w:r>
      <w:r w:rsidRPr="00032D97">
        <w:rPr>
          <w:b/>
          <w:bCs/>
          <w:color w:val="000000" w:themeColor="text1"/>
          <w:sz w:val="22"/>
          <w:szCs w:val="22"/>
          <w:vertAlign w:val="superscript"/>
        </w:rPr>
        <w:t>™</w:t>
      </w:r>
      <w:r w:rsidRPr="00032D97">
        <w:rPr>
          <w:color w:val="000000" w:themeColor="text1"/>
          <w:sz w:val="22"/>
          <w:szCs w:val="22"/>
        </w:rPr>
        <w:t>: A two-pane tempered glass system with a vacuum space and one Low-E coating.</w:t>
      </w:r>
    </w:p>
    <w:p w14:paraId="415ACD77" w14:textId="061A3ABC" w:rsidR="00651A2F" w:rsidRPr="00032D97" w:rsidRDefault="00651A2F" w:rsidP="00032D97">
      <w:pPr>
        <w:numPr>
          <w:ilvl w:val="0"/>
          <w:numId w:val="2"/>
        </w:numPr>
        <w:ind w:right="-360"/>
        <w:contextualSpacing/>
        <w:rPr>
          <w:color w:val="000000" w:themeColor="text1"/>
          <w:sz w:val="22"/>
          <w:szCs w:val="22"/>
        </w:rPr>
      </w:pPr>
      <w:r w:rsidRPr="00032D97">
        <w:rPr>
          <w:b/>
          <w:bCs/>
          <w:color w:val="000000" w:themeColor="text1"/>
          <w:sz w:val="22"/>
          <w:szCs w:val="22"/>
        </w:rPr>
        <w:t>Enthermal Plus</w:t>
      </w:r>
      <w:r w:rsidRPr="00032D97">
        <w:rPr>
          <w:b/>
          <w:bCs/>
          <w:color w:val="000000" w:themeColor="text1"/>
          <w:sz w:val="22"/>
          <w:szCs w:val="22"/>
          <w:vertAlign w:val="superscript"/>
        </w:rPr>
        <w:t>™</w:t>
      </w:r>
      <w:r w:rsidRPr="00032D97">
        <w:rPr>
          <w:color w:val="000000" w:themeColor="text1"/>
          <w:sz w:val="22"/>
          <w:szCs w:val="22"/>
        </w:rPr>
        <w:t>: A three-pane</w:t>
      </w:r>
      <w:r w:rsidR="00366257" w:rsidRPr="00032D97">
        <w:rPr>
          <w:color w:val="000000" w:themeColor="text1"/>
          <w:sz w:val="22"/>
          <w:szCs w:val="22"/>
        </w:rPr>
        <w:t xml:space="preserve"> tempered</w:t>
      </w:r>
      <w:r w:rsidRPr="00032D97">
        <w:rPr>
          <w:color w:val="000000" w:themeColor="text1"/>
          <w:sz w:val="22"/>
          <w:szCs w:val="22"/>
        </w:rPr>
        <w:t xml:space="preserve"> system with a vacuum space, </w:t>
      </w:r>
      <w:r w:rsidR="002E170D" w:rsidRPr="00032D97">
        <w:rPr>
          <w:color w:val="000000" w:themeColor="text1"/>
          <w:sz w:val="22"/>
          <w:szCs w:val="22"/>
        </w:rPr>
        <w:t xml:space="preserve">two </w:t>
      </w:r>
      <w:r w:rsidRPr="00032D97">
        <w:rPr>
          <w:color w:val="000000" w:themeColor="text1"/>
          <w:sz w:val="22"/>
          <w:szCs w:val="22"/>
        </w:rPr>
        <w:t>Low-E coatings and additional customization options.</w:t>
      </w:r>
    </w:p>
    <w:p w14:paraId="5798C610" w14:textId="77777777" w:rsidR="00907A8D" w:rsidRPr="00032D97" w:rsidRDefault="00907A8D" w:rsidP="00C8501B">
      <w:pPr>
        <w:ind w:right="-360"/>
        <w:contextualSpacing/>
        <w:rPr>
          <w:color w:val="000000" w:themeColor="text1"/>
          <w:sz w:val="22"/>
          <w:szCs w:val="22"/>
        </w:rPr>
      </w:pPr>
    </w:p>
    <w:p w14:paraId="43070DEF" w14:textId="12433017" w:rsidR="00A96474" w:rsidRPr="00032D97" w:rsidRDefault="00AA6FE5" w:rsidP="00032D97">
      <w:pPr>
        <w:ind w:right="-360"/>
        <w:contextualSpacing/>
        <w:rPr>
          <w:color w:val="000000" w:themeColor="text1"/>
          <w:sz w:val="22"/>
          <w:szCs w:val="22"/>
        </w:rPr>
      </w:pPr>
      <w:r w:rsidRPr="00032D97">
        <w:rPr>
          <w:color w:val="000000" w:themeColor="text1"/>
          <w:sz w:val="22"/>
          <w:szCs w:val="22"/>
        </w:rPr>
        <w:t xml:space="preserve">Engineered with a proprietary design, the </w:t>
      </w:r>
      <w:r w:rsidR="00776D6B" w:rsidRPr="00032D97">
        <w:rPr>
          <w:color w:val="000000" w:themeColor="text1"/>
          <w:sz w:val="22"/>
          <w:szCs w:val="22"/>
        </w:rPr>
        <w:t>edge seal</w:t>
      </w:r>
      <w:r w:rsidRPr="00032D97">
        <w:rPr>
          <w:color w:val="000000" w:themeColor="text1"/>
          <w:sz w:val="22"/>
          <w:szCs w:val="22"/>
        </w:rPr>
        <w:t xml:space="preserve"> used in LuxWall’s vacuum insulating glass stands apart from conventional dual-pane unit</w:t>
      </w:r>
      <w:r w:rsidR="00776D6B" w:rsidRPr="00032D97">
        <w:rPr>
          <w:color w:val="000000" w:themeColor="text1"/>
          <w:sz w:val="22"/>
          <w:szCs w:val="22"/>
        </w:rPr>
        <w:t xml:space="preserve"> glass spacers</w:t>
      </w:r>
      <w:r w:rsidRPr="00032D97">
        <w:rPr>
          <w:color w:val="000000" w:themeColor="text1"/>
          <w:sz w:val="22"/>
          <w:szCs w:val="22"/>
        </w:rPr>
        <w:t xml:space="preserve"> with its notably smaller size and unique</w:t>
      </w:r>
      <w:r w:rsidR="00776D6B" w:rsidRPr="00032D97">
        <w:rPr>
          <w:color w:val="000000" w:themeColor="text1"/>
          <w:sz w:val="22"/>
          <w:szCs w:val="22"/>
        </w:rPr>
        <w:t>, durable</w:t>
      </w:r>
      <w:r w:rsidRPr="00032D97">
        <w:rPr>
          <w:color w:val="000000" w:themeColor="text1"/>
          <w:sz w:val="22"/>
          <w:szCs w:val="22"/>
        </w:rPr>
        <w:t xml:space="preserve"> construction.</w:t>
      </w:r>
    </w:p>
    <w:p w14:paraId="62101539" w14:textId="77777777" w:rsidR="00AA6FE5" w:rsidRPr="00032D97" w:rsidRDefault="00AA6FE5" w:rsidP="00032D97">
      <w:pPr>
        <w:ind w:right="-360"/>
        <w:contextualSpacing/>
        <w:rPr>
          <w:color w:val="000000" w:themeColor="text1"/>
          <w:sz w:val="22"/>
          <w:szCs w:val="22"/>
        </w:rPr>
      </w:pPr>
    </w:p>
    <w:p w14:paraId="7B741B97" w14:textId="55E63CC0" w:rsidR="00B141DD" w:rsidRPr="00032D97" w:rsidRDefault="00D5633A" w:rsidP="00032D97">
      <w:pPr>
        <w:ind w:right="-360"/>
        <w:contextualSpacing/>
        <w:rPr>
          <w:sz w:val="22"/>
          <w:szCs w:val="22"/>
        </w:rPr>
      </w:pPr>
      <w:r w:rsidRPr="00032D97">
        <w:rPr>
          <w:sz w:val="22"/>
          <w:szCs w:val="22"/>
        </w:rPr>
        <w:t>A</w:t>
      </w:r>
      <w:r w:rsidR="003204DB" w:rsidRPr="00032D97">
        <w:rPr>
          <w:sz w:val="22"/>
          <w:szCs w:val="22"/>
        </w:rPr>
        <w:t xml:space="preserve">vailable in rectangular shapes, </w:t>
      </w:r>
      <w:r w:rsidRPr="00032D97">
        <w:rPr>
          <w:sz w:val="22"/>
          <w:szCs w:val="22"/>
        </w:rPr>
        <w:t>Enthermal and Enthermal Plus</w:t>
      </w:r>
      <w:r w:rsidR="00CE73E9" w:rsidRPr="00032D97">
        <w:rPr>
          <w:sz w:val="22"/>
          <w:szCs w:val="22"/>
        </w:rPr>
        <w:t xml:space="preserve"> can scale in sizes</w:t>
      </w:r>
      <w:r w:rsidR="003204DB" w:rsidRPr="00032D97">
        <w:rPr>
          <w:sz w:val="22"/>
          <w:szCs w:val="22"/>
        </w:rPr>
        <w:t xml:space="preserve"> ranging </w:t>
      </w:r>
      <w:r w:rsidR="00FE5F7D" w:rsidRPr="00032D97">
        <w:rPr>
          <w:sz w:val="22"/>
          <w:szCs w:val="22"/>
        </w:rPr>
        <w:t xml:space="preserve">from </w:t>
      </w:r>
      <w:r w:rsidR="003204DB" w:rsidRPr="00032D97">
        <w:rPr>
          <w:sz w:val="22"/>
          <w:szCs w:val="22"/>
        </w:rPr>
        <w:t>12</w:t>
      </w:r>
      <w:r w:rsidR="00D23CE8" w:rsidRPr="00032D97">
        <w:rPr>
          <w:sz w:val="22"/>
          <w:szCs w:val="22"/>
        </w:rPr>
        <w:t xml:space="preserve"> </w:t>
      </w:r>
      <w:r w:rsidR="003204DB" w:rsidRPr="00032D97">
        <w:rPr>
          <w:sz w:val="22"/>
          <w:szCs w:val="22"/>
        </w:rPr>
        <w:t>by 18 inches up to 60 by 96 inches. Both options can be specified with performance divided lites</w:t>
      </w:r>
      <w:r w:rsidR="00902E0F" w:rsidRPr="00032D97">
        <w:rPr>
          <w:sz w:val="22"/>
          <w:szCs w:val="22"/>
        </w:rPr>
        <w:t>.</w:t>
      </w:r>
    </w:p>
    <w:p w14:paraId="26A68745" w14:textId="77777777" w:rsidR="00907A8D" w:rsidRPr="00032D97" w:rsidRDefault="00907A8D" w:rsidP="00032D97">
      <w:pPr>
        <w:ind w:right="-360"/>
        <w:contextualSpacing/>
        <w:rPr>
          <w:color w:val="000000" w:themeColor="text1"/>
          <w:sz w:val="22"/>
          <w:szCs w:val="22"/>
        </w:rPr>
      </w:pPr>
    </w:p>
    <w:p w14:paraId="5C8C8172" w14:textId="079DC839" w:rsidR="00757BCF" w:rsidRPr="00032D97" w:rsidRDefault="005C1D89" w:rsidP="00032D97">
      <w:pPr>
        <w:ind w:right="-360"/>
        <w:contextualSpacing/>
        <w:rPr>
          <w:color w:val="000000" w:themeColor="text1"/>
          <w:sz w:val="22"/>
          <w:szCs w:val="22"/>
        </w:rPr>
      </w:pPr>
      <w:r w:rsidRPr="00032D97">
        <w:rPr>
          <w:color w:val="000000" w:themeColor="text1"/>
          <w:sz w:val="22"/>
          <w:szCs w:val="22"/>
        </w:rPr>
        <w:t xml:space="preserve">Enthermal </w:t>
      </w:r>
      <w:r w:rsidR="003A2B55" w:rsidRPr="00032D97">
        <w:rPr>
          <w:color w:val="000000" w:themeColor="text1"/>
          <w:sz w:val="22"/>
          <w:szCs w:val="22"/>
        </w:rPr>
        <w:t>and Enthermal Plus are</w:t>
      </w:r>
      <w:r w:rsidRPr="00032D97">
        <w:rPr>
          <w:color w:val="000000" w:themeColor="text1"/>
          <w:sz w:val="22"/>
          <w:szCs w:val="22"/>
        </w:rPr>
        <w:t xml:space="preserve"> currently available in Ultra Series </w:t>
      </w:r>
      <w:r w:rsidR="00907A8D" w:rsidRPr="00032D97">
        <w:rPr>
          <w:color w:val="000000" w:themeColor="text1"/>
          <w:sz w:val="22"/>
          <w:szCs w:val="22"/>
        </w:rPr>
        <w:t>and VistaLuxe</w:t>
      </w:r>
      <w:r w:rsidR="00907A8D" w:rsidRPr="00032D97">
        <w:rPr>
          <w:color w:val="000000" w:themeColor="text1"/>
          <w:sz w:val="22"/>
          <w:szCs w:val="22"/>
          <w:vertAlign w:val="superscript"/>
        </w:rPr>
        <w:t>®</w:t>
      </w:r>
      <w:r w:rsidR="00907A8D" w:rsidRPr="00032D97">
        <w:rPr>
          <w:color w:val="000000" w:themeColor="text1"/>
          <w:sz w:val="22"/>
          <w:szCs w:val="22"/>
        </w:rPr>
        <w:t xml:space="preserve"> WD LINE </w:t>
      </w:r>
      <w:r w:rsidRPr="00032D97">
        <w:rPr>
          <w:color w:val="000000" w:themeColor="text1"/>
          <w:sz w:val="22"/>
          <w:szCs w:val="22"/>
        </w:rPr>
        <w:t xml:space="preserve">windows and doors, including swinging, folding and sliding </w:t>
      </w:r>
      <w:r w:rsidR="00907A8D" w:rsidRPr="00032D97">
        <w:rPr>
          <w:color w:val="000000" w:themeColor="text1"/>
          <w:sz w:val="22"/>
          <w:szCs w:val="22"/>
        </w:rPr>
        <w:t xml:space="preserve">door </w:t>
      </w:r>
      <w:r w:rsidRPr="00032D97">
        <w:rPr>
          <w:color w:val="000000" w:themeColor="text1"/>
          <w:sz w:val="22"/>
          <w:szCs w:val="22"/>
        </w:rPr>
        <w:t xml:space="preserve">styles. Looking ahead, </w:t>
      </w:r>
      <w:r w:rsidR="003A2B55" w:rsidRPr="00032D97">
        <w:rPr>
          <w:color w:val="000000" w:themeColor="text1"/>
          <w:sz w:val="22"/>
          <w:szCs w:val="22"/>
        </w:rPr>
        <w:t>Enthermal or Enthermal Plus options</w:t>
      </w:r>
      <w:r w:rsidRPr="00032D97">
        <w:rPr>
          <w:color w:val="000000" w:themeColor="text1"/>
          <w:sz w:val="22"/>
          <w:szCs w:val="22"/>
        </w:rPr>
        <w:t xml:space="preserve"> will also be</w:t>
      </w:r>
      <w:r w:rsidR="003A2B55" w:rsidRPr="00032D97">
        <w:rPr>
          <w:color w:val="000000" w:themeColor="text1"/>
          <w:sz w:val="22"/>
          <w:szCs w:val="22"/>
        </w:rPr>
        <w:t xml:space="preserve"> made </w:t>
      </w:r>
      <w:r w:rsidRPr="00032D97">
        <w:rPr>
          <w:color w:val="000000" w:themeColor="text1"/>
          <w:sz w:val="22"/>
          <w:szCs w:val="22"/>
        </w:rPr>
        <w:t>available in</w:t>
      </w:r>
      <w:r w:rsidR="00907A8D" w:rsidRPr="00032D97">
        <w:rPr>
          <w:color w:val="000000" w:themeColor="text1"/>
          <w:sz w:val="22"/>
          <w:szCs w:val="22"/>
        </w:rPr>
        <w:t xml:space="preserve"> selected </w:t>
      </w:r>
      <w:r w:rsidR="003A2B55" w:rsidRPr="00032D97">
        <w:rPr>
          <w:color w:val="000000" w:themeColor="text1"/>
          <w:sz w:val="22"/>
          <w:szCs w:val="22"/>
        </w:rPr>
        <w:t>products</w:t>
      </w:r>
      <w:r w:rsidR="00907A8D" w:rsidRPr="00032D97">
        <w:rPr>
          <w:color w:val="000000" w:themeColor="text1"/>
          <w:sz w:val="22"/>
          <w:szCs w:val="22"/>
        </w:rPr>
        <w:t xml:space="preserve"> from</w:t>
      </w:r>
      <w:r w:rsidRPr="00032D97">
        <w:rPr>
          <w:color w:val="000000" w:themeColor="text1"/>
          <w:sz w:val="22"/>
          <w:szCs w:val="22"/>
        </w:rPr>
        <w:t xml:space="preserve"> Kolbe’s</w:t>
      </w:r>
      <w:r w:rsidR="003A2B55" w:rsidRPr="00032D97">
        <w:rPr>
          <w:color w:val="000000" w:themeColor="text1"/>
          <w:sz w:val="22"/>
          <w:szCs w:val="22"/>
        </w:rPr>
        <w:t xml:space="preserve"> Forgent</w:t>
      </w:r>
      <w:r w:rsidR="00A42B4E" w:rsidRPr="00032D97">
        <w:rPr>
          <w:color w:val="000000" w:themeColor="text1"/>
          <w:sz w:val="22"/>
          <w:szCs w:val="22"/>
          <w:vertAlign w:val="superscript"/>
        </w:rPr>
        <w:t>®</w:t>
      </w:r>
      <w:r w:rsidR="003A2B55" w:rsidRPr="00032D97">
        <w:rPr>
          <w:color w:val="000000" w:themeColor="text1"/>
          <w:sz w:val="22"/>
          <w:szCs w:val="22"/>
        </w:rPr>
        <w:t xml:space="preserve"> Series,</w:t>
      </w:r>
      <w:r w:rsidRPr="00032D97">
        <w:rPr>
          <w:color w:val="000000" w:themeColor="text1"/>
          <w:sz w:val="22"/>
          <w:szCs w:val="22"/>
        </w:rPr>
        <w:t xml:space="preserve"> Heritage Series and VistaLuxe</w:t>
      </w:r>
      <w:r w:rsidRPr="00032D97">
        <w:rPr>
          <w:color w:val="000000" w:themeColor="text1"/>
          <w:sz w:val="22"/>
          <w:szCs w:val="22"/>
          <w:vertAlign w:val="superscript"/>
        </w:rPr>
        <w:t>®</w:t>
      </w:r>
      <w:r w:rsidRPr="00032D97">
        <w:rPr>
          <w:color w:val="000000" w:themeColor="text1"/>
          <w:sz w:val="22"/>
          <w:szCs w:val="22"/>
        </w:rPr>
        <w:t xml:space="preserve"> AL LINE, continuing the company’s commitment to innovation across its </w:t>
      </w:r>
      <w:r w:rsidR="007A5B0F" w:rsidRPr="00032D97">
        <w:rPr>
          <w:color w:val="000000" w:themeColor="text1"/>
          <w:sz w:val="22"/>
          <w:szCs w:val="22"/>
        </w:rPr>
        <w:t>product offering</w:t>
      </w:r>
      <w:r w:rsidR="00F21C56" w:rsidRPr="00032D97">
        <w:rPr>
          <w:color w:val="000000" w:themeColor="text1"/>
          <w:sz w:val="22"/>
          <w:szCs w:val="22"/>
        </w:rPr>
        <w:t>s</w:t>
      </w:r>
      <w:r w:rsidRPr="00032D97">
        <w:rPr>
          <w:color w:val="000000" w:themeColor="text1"/>
          <w:sz w:val="22"/>
          <w:szCs w:val="22"/>
        </w:rPr>
        <w:t>.</w:t>
      </w:r>
    </w:p>
    <w:p w14:paraId="07A8BB1F" w14:textId="77777777" w:rsidR="00B141DD" w:rsidRPr="00032D97" w:rsidRDefault="00B141DD" w:rsidP="00032D97">
      <w:pPr>
        <w:ind w:right="-360"/>
        <w:contextualSpacing/>
        <w:rPr>
          <w:color w:val="000000" w:themeColor="text1"/>
          <w:sz w:val="22"/>
          <w:szCs w:val="22"/>
        </w:rPr>
      </w:pPr>
    </w:p>
    <w:p w14:paraId="09E5F67D" w14:textId="5932567E" w:rsidR="003A2B55" w:rsidRPr="00032D97" w:rsidRDefault="008D087D" w:rsidP="00032D97">
      <w:pPr>
        <w:ind w:right="-360"/>
        <w:contextualSpacing/>
        <w:rPr>
          <w:color w:val="000000" w:themeColor="text1"/>
          <w:sz w:val="22"/>
          <w:szCs w:val="22"/>
        </w:rPr>
      </w:pPr>
      <w:r w:rsidRPr="00032D97">
        <w:rPr>
          <w:color w:val="000000" w:themeColor="text1"/>
          <w:sz w:val="22"/>
          <w:szCs w:val="22"/>
        </w:rPr>
        <w:t>C</w:t>
      </w:r>
      <w:r w:rsidR="00B141DD" w:rsidRPr="00032D97">
        <w:rPr>
          <w:color w:val="000000" w:themeColor="text1"/>
          <w:sz w:val="22"/>
          <w:szCs w:val="22"/>
        </w:rPr>
        <w:t>ertified performance values</w:t>
      </w:r>
      <w:r w:rsidR="00195322" w:rsidRPr="00032D97">
        <w:rPr>
          <w:color w:val="000000" w:themeColor="text1"/>
          <w:sz w:val="22"/>
          <w:szCs w:val="22"/>
        </w:rPr>
        <w:t xml:space="preserve"> confirm that </w:t>
      </w:r>
      <w:r w:rsidR="00FF6ED8" w:rsidRPr="00032D97">
        <w:rPr>
          <w:color w:val="000000" w:themeColor="text1"/>
          <w:sz w:val="22"/>
          <w:szCs w:val="22"/>
        </w:rPr>
        <w:t>Kolbe’s</w:t>
      </w:r>
      <w:r w:rsidR="004E1E41" w:rsidRPr="00032D97">
        <w:rPr>
          <w:color w:val="000000" w:themeColor="text1"/>
          <w:sz w:val="22"/>
          <w:szCs w:val="22"/>
        </w:rPr>
        <w:t xml:space="preserve"> </w:t>
      </w:r>
      <w:r w:rsidR="00227C24" w:rsidRPr="00032D97">
        <w:rPr>
          <w:color w:val="000000" w:themeColor="text1"/>
          <w:sz w:val="22"/>
          <w:szCs w:val="22"/>
        </w:rPr>
        <w:t xml:space="preserve">window and door systems that utilize </w:t>
      </w:r>
      <w:r w:rsidR="00195322" w:rsidRPr="00032D97">
        <w:rPr>
          <w:color w:val="000000" w:themeColor="text1"/>
          <w:sz w:val="22"/>
          <w:szCs w:val="22"/>
        </w:rPr>
        <w:t xml:space="preserve">VIG perform significantly better than </w:t>
      </w:r>
      <w:r w:rsidR="00227C24" w:rsidRPr="00032D97">
        <w:rPr>
          <w:color w:val="000000" w:themeColor="text1"/>
          <w:sz w:val="22"/>
          <w:szCs w:val="22"/>
        </w:rPr>
        <w:t xml:space="preserve">those with </w:t>
      </w:r>
      <w:r w:rsidR="00195322" w:rsidRPr="00032D97">
        <w:rPr>
          <w:color w:val="000000" w:themeColor="text1"/>
          <w:sz w:val="22"/>
          <w:szCs w:val="22"/>
        </w:rPr>
        <w:t>the best performing dual-pane argon-filled insulating glass units.</w:t>
      </w:r>
      <w:r w:rsidRPr="00032D97">
        <w:rPr>
          <w:color w:val="000000" w:themeColor="text1"/>
          <w:sz w:val="22"/>
          <w:szCs w:val="22"/>
        </w:rPr>
        <w:t xml:space="preserve"> </w:t>
      </w:r>
      <w:r w:rsidR="005F602D" w:rsidRPr="00032D97">
        <w:rPr>
          <w:color w:val="000000" w:themeColor="text1"/>
          <w:sz w:val="22"/>
          <w:szCs w:val="22"/>
        </w:rPr>
        <w:t>Compare a selection of values for</w:t>
      </w:r>
      <w:r w:rsidR="00227C24" w:rsidRPr="00032D97">
        <w:rPr>
          <w:color w:val="000000" w:themeColor="text1"/>
          <w:sz w:val="22"/>
          <w:szCs w:val="22"/>
        </w:rPr>
        <w:t xml:space="preserve"> systems featuring</w:t>
      </w:r>
      <w:r w:rsidR="0076003C" w:rsidRPr="00032D97">
        <w:rPr>
          <w:color w:val="000000" w:themeColor="text1"/>
          <w:sz w:val="22"/>
          <w:szCs w:val="22"/>
        </w:rPr>
        <w:t xml:space="preserve"> dual-pane argon-filled insulating glass units,</w:t>
      </w:r>
      <w:r w:rsidR="005F602D" w:rsidRPr="00032D97">
        <w:rPr>
          <w:color w:val="000000" w:themeColor="text1"/>
          <w:sz w:val="22"/>
          <w:szCs w:val="22"/>
        </w:rPr>
        <w:t xml:space="preserve"> Enthermal</w:t>
      </w:r>
      <w:r w:rsidR="0076003C" w:rsidRPr="00032D97">
        <w:rPr>
          <w:color w:val="000000" w:themeColor="text1"/>
          <w:sz w:val="22"/>
          <w:szCs w:val="22"/>
        </w:rPr>
        <w:t xml:space="preserve"> and</w:t>
      </w:r>
      <w:r w:rsidR="005F602D" w:rsidRPr="00032D97">
        <w:rPr>
          <w:color w:val="000000" w:themeColor="text1"/>
          <w:sz w:val="22"/>
          <w:szCs w:val="22"/>
        </w:rPr>
        <w:t xml:space="preserve"> Enthermal Plus</w:t>
      </w:r>
      <w:r w:rsidR="00F744A3" w:rsidRPr="00032D97">
        <w:rPr>
          <w:color w:val="000000" w:themeColor="text1"/>
          <w:sz w:val="22"/>
          <w:szCs w:val="22"/>
        </w:rPr>
        <w:t xml:space="preserve"> with argon</w:t>
      </w:r>
      <w:r w:rsidR="005F602D" w:rsidRPr="00032D97">
        <w:rPr>
          <w:color w:val="000000" w:themeColor="text1"/>
          <w:sz w:val="22"/>
          <w:szCs w:val="22"/>
        </w:rPr>
        <w:t xml:space="preserve"> </w:t>
      </w:r>
      <w:r w:rsidR="007D438E" w:rsidRPr="00032D97">
        <w:rPr>
          <w:color w:val="000000" w:themeColor="text1"/>
          <w:sz w:val="22"/>
          <w:szCs w:val="22"/>
        </w:rPr>
        <w:t xml:space="preserve">in the </w:t>
      </w:r>
      <w:r w:rsidR="00032D97" w:rsidRPr="00032D97">
        <w:rPr>
          <w:color w:val="000000" w:themeColor="text1"/>
          <w:sz w:val="22"/>
          <w:szCs w:val="22"/>
        </w:rPr>
        <w:t xml:space="preserve">following </w:t>
      </w:r>
      <w:r w:rsidR="007D438E" w:rsidRPr="00032D97">
        <w:rPr>
          <w:color w:val="000000" w:themeColor="text1"/>
          <w:sz w:val="22"/>
          <w:szCs w:val="22"/>
        </w:rPr>
        <w:t>table</w:t>
      </w:r>
      <w:r w:rsidR="00032D97" w:rsidRPr="00032D97">
        <w:rPr>
          <w:color w:val="000000" w:themeColor="text1"/>
          <w:sz w:val="22"/>
          <w:szCs w:val="22"/>
        </w:rPr>
        <w:t>.</w:t>
      </w:r>
    </w:p>
    <w:p w14:paraId="162E5BD4" w14:textId="7E686218" w:rsidR="00032D97" w:rsidRPr="00032D97" w:rsidRDefault="00032D97" w:rsidP="00032D97">
      <w:pPr>
        <w:ind w:right="-360"/>
        <w:contextualSpacing/>
        <w:jc w:val="right"/>
        <w:rPr>
          <w:i/>
          <w:iCs/>
          <w:color w:val="000000" w:themeColor="text1"/>
        </w:rPr>
      </w:pPr>
      <w:r w:rsidRPr="00032D97">
        <w:rPr>
          <w:i/>
          <w:iCs/>
          <w:color w:val="000000" w:themeColor="text1"/>
        </w:rPr>
        <w:t>(continued)</w:t>
      </w:r>
      <w:r>
        <w:rPr>
          <w:b/>
          <w:bCs/>
          <w:color w:val="000000" w:themeColor="text1"/>
        </w:rPr>
        <w:br w:type="page"/>
      </w:r>
    </w:p>
    <w:p w14:paraId="0293C5D7" w14:textId="27FC9339" w:rsidR="005C1179" w:rsidRPr="00A7524B" w:rsidRDefault="003A2B55" w:rsidP="00032D97">
      <w:pPr>
        <w:ind w:right="-360"/>
        <w:contextualSpacing/>
        <w:rPr>
          <w:b/>
          <w:bCs/>
          <w:color w:val="000000" w:themeColor="text1"/>
          <w:sz w:val="24"/>
          <w:szCs w:val="24"/>
        </w:rPr>
      </w:pPr>
      <w:r w:rsidRPr="00A7524B">
        <w:rPr>
          <w:b/>
          <w:bCs/>
          <w:color w:val="000000" w:themeColor="text1"/>
          <w:sz w:val="24"/>
          <w:szCs w:val="24"/>
        </w:rPr>
        <w:lastRenderedPageBreak/>
        <w:t>Comparison of Certifie</w:t>
      </w:r>
      <w:r w:rsidR="0030597F" w:rsidRPr="00A7524B">
        <w:rPr>
          <w:b/>
          <w:bCs/>
          <w:color w:val="000000" w:themeColor="text1"/>
          <w:sz w:val="24"/>
          <w:szCs w:val="24"/>
        </w:rPr>
        <w:t>d</w:t>
      </w:r>
      <w:r w:rsidRPr="00A7524B">
        <w:rPr>
          <w:b/>
          <w:bCs/>
          <w:color w:val="000000" w:themeColor="text1"/>
          <w:sz w:val="24"/>
          <w:szCs w:val="24"/>
        </w:rPr>
        <w:t xml:space="preserve"> U-Values within Kolbe Products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1254"/>
        <w:gridCol w:w="154"/>
        <w:gridCol w:w="952"/>
        <w:gridCol w:w="148"/>
        <w:gridCol w:w="1254"/>
        <w:gridCol w:w="126"/>
        <w:gridCol w:w="1129"/>
      </w:tblGrid>
      <w:tr w:rsidR="00BA3A75" w14:paraId="59814FB4" w14:textId="77777777" w:rsidTr="00A7524B">
        <w:tc>
          <w:tcPr>
            <w:tcW w:w="43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FB65C" w14:textId="77777777" w:rsidR="005A389E" w:rsidRDefault="005A389E" w:rsidP="00032D97">
            <w:pPr>
              <w:ind w:right="-360"/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DD3E51" w14:textId="77777777" w:rsidR="00A7524B" w:rsidRDefault="005A389E" w:rsidP="00032D97">
            <w:pPr>
              <w:ind w:right="-360"/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Dual</w:t>
            </w:r>
          </w:p>
          <w:p w14:paraId="1743B281" w14:textId="4F43D207" w:rsidR="005A389E" w:rsidRDefault="005A389E" w:rsidP="00032D97">
            <w:pPr>
              <w:ind w:right="-360"/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Pane</w:t>
            </w: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69FE67" w14:textId="77777777" w:rsidR="00A7524B" w:rsidRDefault="005A389E" w:rsidP="00032D97">
            <w:pPr>
              <w:ind w:right="-360"/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Triple</w:t>
            </w:r>
          </w:p>
          <w:p w14:paraId="1B23B27E" w14:textId="2FACC763" w:rsidR="005A389E" w:rsidRDefault="005A389E" w:rsidP="00032D97">
            <w:pPr>
              <w:ind w:right="-360"/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Pane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834505" w14:textId="7EC4EABD" w:rsidR="005A389E" w:rsidRDefault="005A389E" w:rsidP="00032D97">
            <w:pPr>
              <w:ind w:right="-360"/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Enthermal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6398AC" w14:textId="77777777" w:rsidR="00A7524B" w:rsidRDefault="005A389E" w:rsidP="00032D97">
            <w:pPr>
              <w:ind w:right="-360"/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Enthermal</w:t>
            </w:r>
          </w:p>
          <w:p w14:paraId="1DFBA1F7" w14:textId="23B824AC" w:rsidR="005A389E" w:rsidRDefault="005A389E" w:rsidP="00032D97">
            <w:pPr>
              <w:ind w:right="-360"/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Plus</w:t>
            </w:r>
          </w:p>
        </w:tc>
      </w:tr>
      <w:tr w:rsidR="00BA3A75" w:rsidRPr="005A389E" w14:paraId="3224AA1C" w14:textId="77777777" w:rsidTr="00A7524B">
        <w:tc>
          <w:tcPr>
            <w:tcW w:w="4343" w:type="dxa"/>
            <w:tcBorders>
              <w:top w:val="single" w:sz="4" w:space="0" w:color="auto"/>
              <w:right w:val="single" w:sz="4" w:space="0" w:color="auto"/>
            </w:tcBorders>
          </w:tcPr>
          <w:p w14:paraId="50DB9776" w14:textId="7B643D96" w:rsidR="005A389E" w:rsidRPr="005A389E" w:rsidRDefault="005A389E" w:rsidP="00032D97">
            <w:pPr>
              <w:ind w:right="-360"/>
              <w:contextualSpacing/>
              <w:rPr>
                <w:color w:val="000000" w:themeColor="text1"/>
              </w:rPr>
            </w:pPr>
            <w:r w:rsidRPr="005A389E">
              <w:rPr>
                <w:color w:val="000000" w:themeColor="text1"/>
              </w:rPr>
              <w:t>Ultra Series Crank-out Casement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14:paraId="134E795D" w14:textId="333EC9B1" w:rsidR="00BA3A75" w:rsidRPr="005A389E" w:rsidRDefault="00BA3A7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0.28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</w:tcBorders>
          </w:tcPr>
          <w:p w14:paraId="4492A30D" w14:textId="213E3C1B" w:rsidR="005A389E" w:rsidRPr="005A389E" w:rsidRDefault="00BA3A7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0.27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48860163" w14:textId="6D2690F0" w:rsidR="005A389E" w:rsidRPr="005A389E" w:rsidRDefault="00BA3A7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14:paraId="57F020BC" w14:textId="7B9338A0" w:rsidR="005A389E" w:rsidRPr="005A389E" w:rsidRDefault="00BA3A7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</w:t>
            </w:r>
            <w:r w:rsidR="00A44989">
              <w:rPr>
                <w:color w:val="000000" w:themeColor="text1"/>
              </w:rPr>
              <w:t>0</w:t>
            </w:r>
          </w:p>
        </w:tc>
      </w:tr>
      <w:tr w:rsidR="00BA3A75" w:rsidRPr="005A389E" w14:paraId="07DE79DB" w14:textId="77777777" w:rsidTr="00A7524B">
        <w:tc>
          <w:tcPr>
            <w:tcW w:w="43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9EB788" w14:textId="0636D4BE" w:rsidR="005A389E" w:rsidRPr="005A389E" w:rsidRDefault="005A389E" w:rsidP="00032D97">
            <w:pPr>
              <w:ind w:right="-36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Ultra Series Crank-out Casement Picture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F3C18F" w14:textId="2CB2AC12" w:rsidR="005A389E" w:rsidRPr="005A389E" w:rsidRDefault="00BA3A7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0.25</w:t>
            </w:r>
          </w:p>
        </w:tc>
        <w:tc>
          <w:tcPr>
            <w:tcW w:w="1254" w:type="dxa"/>
            <w:gridSpan w:val="3"/>
            <w:shd w:val="clear" w:color="auto" w:fill="F2F2F2" w:themeFill="background1" w:themeFillShade="F2"/>
          </w:tcPr>
          <w:p w14:paraId="34556D08" w14:textId="023756E9" w:rsidR="005A389E" w:rsidRPr="005A389E" w:rsidRDefault="00BA3A7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0.24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4C449CD4" w14:textId="59F052A0" w:rsidR="005A389E" w:rsidRPr="005A389E" w:rsidRDefault="00BA3A7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0.17</w:t>
            </w:r>
          </w:p>
        </w:tc>
        <w:tc>
          <w:tcPr>
            <w:tcW w:w="1255" w:type="dxa"/>
            <w:gridSpan w:val="2"/>
            <w:shd w:val="clear" w:color="auto" w:fill="F2F2F2" w:themeFill="background1" w:themeFillShade="F2"/>
          </w:tcPr>
          <w:p w14:paraId="7F415172" w14:textId="739EB1BE" w:rsidR="005A389E" w:rsidRPr="005A389E" w:rsidRDefault="00BA3A7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</w:t>
            </w:r>
            <w:r w:rsidR="00A44989">
              <w:rPr>
                <w:color w:val="000000" w:themeColor="text1"/>
              </w:rPr>
              <w:t>5</w:t>
            </w:r>
          </w:p>
        </w:tc>
      </w:tr>
      <w:tr w:rsidR="00BA3A75" w:rsidRPr="005A389E" w14:paraId="4D55C628" w14:textId="77777777" w:rsidTr="00A7524B">
        <w:tc>
          <w:tcPr>
            <w:tcW w:w="4343" w:type="dxa"/>
            <w:tcBorders>
              <w:right w:val="single" w:sz="4" w:space="0" w:color="auto"/>
            </w:tcBorders>
          </w:tcPr>
          <w:p w14:paraId="34A5BBC8" w14:textId="2191185E" w:rsidR="005A389E" w:rsidRPr="005A389E" w:rsidRDefault="005A389E" w:rsidP="00032D97">
            <w:pPr>
              <w:ind w:right="-36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Ultra Series Push-out Casement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14:paraId="5521C3AB" w14:textId="6EBAF7A1" w:rsidR="005A389E" w:rsidRPr="005A389E" w:rsidRDefault="00BA3A7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0.29</w:t>
            </w:r>
          </w:p>
        </w:tc>
        <w:tc>
          <w:tcPr>
            <w:tcW w:w="1254" w:type="dxa"/>
            <w:gridSpan w:val="3"/>
          </w:tcPr>
          <w:p w14:paraId="0B5C5310" w14:textId="6B6D9A95" w:rsidR="005A389E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</w:t>
            </w:r>
          </w:p>
        </w:tc>
        <w:tc>
          <w:tcPr>
            <w:tcW w:w="1254" w:type="dxa"/>
          </w:tcPr>
          <w:p w14:paraId="6FEB3B6A" w14:textId="20CF1449" w:rsidR="005A389E" w:rsidRPr="005A389E" w:rsidRDefault="00BA3A7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0.25</w:t>
            </w:r>
          </w:p>
        </w:tc>
        <w:tc>
          <w:tcPr>
            <w:tcW w:w="1255" w:type="dxa"/>
            <w:gridSpan w:val="2"/>
          </w:tcPr>
          <w:p w14:paraId="2E5350F6" w14:textId="49C86752" w:rsidR="005A389E" w:rsidRPr="005A389E" w:rsidRDefault="00BA3A7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0.22</w:t>
            </w:r>
          </w:p>
        </w:tc>
      </w:tr>
      <w:tr w:rsidR="00BA3A75" w:rsidRPr="005A389E" w14:paraId="6DC15A76" w14:textId="77777777" w:rsidTr="00A7524B">
        <w:tc>
          <w:tcPr>
            <w:tcW w:w="43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E9FCFBC" w14:textId="20833E71" w:rsidR="005A389E" w:rsidRPr="005A389E" w:rsidRDefault="005A389E" w:rsidP="00032D97">
            <w:pPr>
              <w:ind w:right="-36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Ultra Series Push-out Casement Picture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F14C06" w14:textId="5BCEB6F0" w:rsidR="005A389E" w:rsidRPr="005A389E" w:rsidRDefault="00BA3A7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0.25</w:t>
            </w:r>
          </w:p>
        </w:tc>
        <w:tc>
          <w:tcPr>
            <w:tcW w:w="1254" w:type="dxa"/>
            <w:gridSpan w:val="3"/>
            <w:shd w:val="clear" w:color="auto" w:fill="F2F2F2" w:themeFill="background1" w:themeFillShade="F2"/>
          </w:tcPr>
          <w:p w14:paraId="5AFE24DF" w14:textId="781F0D8E" w:rsidR="005A389E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62D95CAC" w14:textId="242E26CA" w:rsidR="005A389E" w:rsidRPr="005A389E" w:rsidRDefault="00BA3A7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0.18</w:t>
            </w:r>
          </w:p>
        </w:tc>
        <w:tc>
          <w:tcPr>
            <w:tcW w:w="1255" w:type="dxa"/>
            <w:gridSpan w:val="2"/>
            <w:shd w:val="clear" w:color="auto" w:fill="F2F2F2" w:themeFill="background1" w:themeFillShade="F2"/>
          </w:tcPr>
          <w:p w14:paraId="47C50E45" w14:textId="5DEC6E9D" w:rsidR="005A389E" w:rsidRPr="005A389E" w:rsidRDefault="00BA3A7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0.16</w:t>
            </w:r>
          </w:p>
        </w:tc>
      </w:tr>
      <w:tr w:rsidR="00E03FE5" w:rsidRPr="005A389E" w14:paraId="26A03496" w14:textId="77777777" w:rsidTr="00A7524B">
        <w:tc>
          <w:tcPr>
            <w:tcW w:w="4343" w:type="dxa"/>
            <w:tcBorders>
              <w:right w:val="single" w:sz="4" w:space="0" w:color="auto"/>
            </w:tcBorders>
          </w:tcPr>
          <w:p w14:paraId="2DB84233" w14:textId="7F924DDC" w:rsidR="00E03FE5" w:rsidRPr="005A389E" w:rsidRDefault="004F501F" w:rsidP="00032D97">
            <w:pPr>
              <w:ind w:right="-36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Ultra Series Sterling Double Hung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14:paraId="10D07692" w14:textId="059E347C" w:rsidR="00E03FE5" w:rsidRPr="005A389E" w:rsidRDefault="004F501F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0.27</w:t>
            </w:r>
          </w:p>
        </w:tc>
        <w:tc>
          <w:tcPr>
            <w:tcW w:w="1254" w:type="dxa"/>
            <w:gridSpan w:val="3"/>
          </w:tcPr>
          <w:p w14:paraId="286182ED" w14:textId="0D3C88A7" w:rsidR="00E03FE5" w:rsidRPr="005A389E" w:rsidRDefault="004F501F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0.26</w:t>
            </w:r>
          </w:p>
        </w:tc>
        <w:tc>
          <w:tcPr>
            <w:tcW w:w="1254" w:type="dxa"/>
          </w:tcPr>
          <w:p w14:paraId="3FE8874E" w14:textId="3146DDCA" w:rsidR="00E03FE5" w:rsidRPr="005A389E" w:rsidRDefault="004F501F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0.21</w:t>
            </w:r>
          </w:p>
        </w:tc>
        <w:tc>
          <w:tcPr>
            <w:tcW w:w="1255" w:type="dxa"/>
            <w:gridSpan w:val="2"/>
          </w:tcPr>
          <w:p w14:paraId="569B8092" w14:textId="2BF5D260" w:rsidR="00E03FE5" w:rsidRPr="005A389E" w:rsidRDefault="004F501F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0.18</w:t>
            </w:r>
          </w:p>
        </w:tc>
      </w:tr>
      <w:tr w:rsidR="00E03FE5" w:rsidRPr="005A389E" w14:paraId="24B1DB73" w14:textId="77777777" w:rsidTr="00A7524B">
        <w:tc>
          <w:tcPr>
            <w:tcW w:w="43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B0E2645" w14:textId="069D9DF2" w:rsidR="00E03FE5" w:rsidRPr="005A389E" w:rsidRDefault="00E03FE5" w:rsidP="00032D97">
            <w:pPr>
              <w:ind w:right="-36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VistaLuxe</w:t>
            </w:r>
            <w:r w:rsidRPr="005A389E">
              <w:rPr>
                <w:color w:val="000000" w:themeColor="text1"/>
                <w:vertAlign w:val="superscript"/>
              </w:rPr>
              <w:t>®</w:t>
            </w:r>
            <w:r>
              <w:rPr>
                <w:color w:val="000000" w:themeColor="text1"/>
              </w:rPr>
              <w:t xml:space="preserve"> WD LINE Casement Picture Direct Set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8DF25B9" w14:textId="7078622C" w:rsidR="00E03FE5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0.18</w:t>
            </w:r>
          </w:p>
        </w:tc>
        <w:tc>
          <w:tcPr>
            <w:tcW w:w="1254" w:type="dxa"/>
            <w:gridSpan w:val="3"/>
            <w:shd w:val="clear" w:color="auto" w:fill="F2F2F2" w:themeFill="background1" w:themeFillShade="F2"/>
          </w:tcPr>
          <w:p w14:paraId="43B6D90A" w14:textId="252B7E00" w:rsidR="00E03FE5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0.17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58B11C43" w14:textId="1F406612" w:rsidR="00E03FE5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0.16</w:t>
            </w:r>
          </w:p>
        </w:tc>
        <w:tc>
          <w:tcPr>
            <w:tcW w:w="1255" w:type="dxa"/>
            <w:gridSpan w:val="2"/>
            <w:shd w:val="clear" w:color="auto" w:fill="F2F2F2" w:themeFill="background1" w:themeFillShade="F2"/>
          </w:tcPr>
          <w:p w14:paraId="1D96290F" w14:textId="6AF788F9" w:rsidR="00E03FE5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0.12</w:t>
            </w:r>
          </w:p>
        </w:tc>
      </w:tr>
      <w:tr w:rsidR="00E03FE5" w:rsidRPr="005A389E" w14:paraId="51D85F8A" w14:textId="77777777" w:rsidTr="00A7524B">
        <w:tc>
          <w:tcPr>
            <w:tcW w:w="4343" w:type="dxa"/>
            <w:tcBorders>
              <w:right w:val="single" w:sz="4" w:space="0" w:color="auto"/>
            </w:tcBorders>
          </w:tcPr>
          <w:p w14:paraId="563C8AB1" w14:textId="24070B7F" w:rsidR="00E03FE5" w:rsidRPr="005A389E" w:rsidRDefault="00E03FE5" w:rsidP="00032D97">
            <w:pPr>
              <w:ind w:right="-36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VistaLuxe</w:t>
            </w:r>
            <w:r w:rsidRPr="005A389E">
              <w:rPr>
                <w:color w:val="000000" w:themeColor="text1"/>
                <w:vertAlign w:val="superscript"/>
              </w:rPr>
              <w:t>®</w:t>
            </w:r>
            <w:r>
              <w:rPr>
                <w:color w:val="000000" w:themeColor="text1"/>
              </w:rPr>
              <w:t xml:space="preserve"> WD LINE Direct Set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14:paraId="6BA17FD1" w14:textId="6041661B" w:rsidR="00E03FE5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0.23</w:t>
            </w:r>
          </w:p>
        </w:tc>
        <w:tc>
          <w:tcPr>
            <w:tcW w:w="1254" w:type="dxa"/>
            <w:gridSpan w:val="3"/>
          </w:tcPr>
          <w:p w14:paraId="2DB154C3" w14:textId="6B4F320C" w:rsidR="00E03FE5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0.16</w:t>
            </w:r>
          </w:p>
        </w:tc>
        <w:tc>
          <w:tcPr>
            <w:tcW w:w="1254" w:type="dxa"/>
          </w:tcPr>
          <w:p w14:paraId="070D7C9C" w14:textId="583FE94C" w:rsidR="00E03FE5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0.14</w:t>
            </w:r>
          </w:p>
        </w:tc>
        <w:tc>
          <w:tcPr>
            <w:tcW w:w="1255" w:type="dxa"/>
            <w:gridSpan w:val="2"/>
          </w:tcPr>
          <w:p w14:paraId="2B720FE4" w14:textId="26E5FB07" w:rsidR="00E03FE5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0.11</w:t>
            </w:r>
          </w:p>
        </w:tc>
      </w:tr>
      <w:tr w:rsidR="00E03FE5" w:rsidRPr="005A389E" w14:paraId="2E3B466A" w14:textId="77777777" w:rsidTr="00A7524B">
        <w:tc>
          <w:tcPr>
            <w:tcW w:w="43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4D6166F" w14:textId="1586EC4F" w:rsidR="00E03FE5" w:rsidRPr="005A389E" w:rsidRDefault="00E03FE5" w:rsidP="00032D97">
            <w:pPr>
              <w:ind w:right="-36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Ultra Series Inswing Entrance Door (1-3/4” Panel) 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4279057" w14:textId="2E12649E" w:rsidR="00E03FE5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0.27</w:t>
            </w:r>
          </w:p>
        </w:tc>
        <w:tc>
          <w:tcPr>
            <w:tcW w:w="1254" w:type="dxa"/>
            <w:gridSpan w:val="3"/>
            <w:shd w:val="clear" w:color="auto" w:fill="F2F2F2" w:themeFill="background1" w:themeFillShade="F2"/>
          </w:tcPr>
          <w:p w14:paraId="0CD948BA" w14:textId="43FB1B4F" w:rsidR="00E03FE5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06C7C95C" w14:textId="364377F4" w:rsidR="00E03FE5" w:rsidRPr="005A389E" w:rsidRDefault="004F501F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0.22</w:t>
            </w:r>
            <w:r w:rsidRPr="004F501F">
              <w:rPr>
                <w:color w:val="000000" w:themeColor="text1"/>
                <w:vertAlign w:val="superscript"/>
              </w:rPr>
              <w:t>*</w:t>
            </w:r>
          </w:p>
        </w:tc>
        <w:tc>
          <w:tcPr>
            <w:tcW w:w="1255" w:type="dxa"/>
            <w:gridSpan w:val="2"/>
            <w:shd w:val="clear" w:color="auto" w:fill="F2F2F2" w:themeFill="background1" w:themeFillShade="F2"/>
          </w:tcPr>
          <w:p w14:paraId="39849455" w14:textId="09CE2BD3" w:rsidR="00E03FE5" w:rsidRPr="005A389E" w:rsidRDefault="004F501F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0.21</w:t>
            </w:r>
            <w:r w:rsidRPr="004F501F">
              <w:rPr>
                <w:color w:val="000000" w:themeColor="text1"/>
                <w:vertAlign w:val="superscript"/>
              </w:rPr>
              <w:t>*</w:t>
            </w:r>
          </w:p>
        </w:tc>
      </w:tr>
      <w:tr w:rsidR="00E03FE5" w:rsidRPr="005A389E" w14:paraId="4E3B643F" w14:textId="77777777" w:rsidTr="00A7524B">
        <w:tc>
          <w:tcPr>
            <w:tcW w:w="4343" w:type="dxa"/>
            <w:tcBorders>
              <w:right w:val="single" w:sz="4" w:space="0" w:color="auto"/>
            </w:tcBorders>
          </w:tcPr>
          <w:p w14:paraId="33091990" w14:textId="3258A1ED" w:rsidR="00E03FE5" w:rsidRPr="005A389E" w:rsidRDefault="00E03FE5" w:rsidP="00032D97">
            <w:pPr>
              <w:ind w:right="-36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Ultra Series Outswing Entrance Door (1-3/4” Panel)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14:paraId="7F2686F8" w14:textId="3E744153" w:rsidR="00E03FE5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0.29</w:t>
            </w:r>
          </w:p>
        </w:tc>
        <w:tc>
          <w:tcPr>
            <w:tcW w:w="1254" w:type="dxa"/>
            <w:gridSpan w:val="3"/>
          </w:tcPr>
          <w:p w14:paraId="0414DA40" w14:textId="7927F786" w:rsidR="00E03FE5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</w:t>
            </w:r>
          </w:p>
        </w:tc>
        <w:tc>
          <w:tcPr>
            <w:tcW w:w="1254" w:type="dxa"/>
          </w:tcPr>
          <w:p w14:paraId="2F0569FF" w14:textId="7397573C" w:rsidR="00E03FE5" w:rsidRPr="005A389E" w:rsidRDefault="004F501F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0.25</w:t>
            </w:r>
            <w:r w:rsidRPr="004F501F">
              <w:rPr>
                <w:color w:val="000000" w:themeColor="text1"/>
                <w:vertAlign w:val="superscript"/>
              </w:rPr>
              <w:t>*</w:t>
            </w:r>
          </w:p>
        </w:tc>
        <w:tc>
          <w:tcPr>
            <w:tcW w:w="1255" w:type="dxa"/>
            <w:gridSpan w:val="2"/>
          </w:tcPr>
          <w:p w14:paraId="7DC01D92" w14:textId="0CBCA7BD" w:rsidR="00E03FE5" w:rsidRPr="005A389E" w:rsidRDefault="004F501F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0.19</w:t>
            </w:r>
            <w:r w:rsidRPr="004F501F">
              <w:rPr>
                <w:color w:val="000000" w:themeColor="text1"/>
                <w:vertAlign w:val="superscript"/>
              </w:rPr>
              <w:t>*</w:t>
            </w:r>
          </w:p>
        </w:tc>
      </w:tr>
      <w:tr w:rsidR="00E03FE5" w:rsidRPr="005A389E" w14:paraId="0212FEDB" w14:textId="77777777" w:rsidTr="00A7524B">
        <w:tc>
          <w:tcPr>
            <w:tcW w:w="43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781A89D" w14:textId="2B6A6CF1" w:rsidR="00E03FE5" w:rsidRPr="005A389E" w:rsidRDefault="00E03FE5" w:rsidP="00032D97">
            <w:pPr>
              <w:ind w:right="-36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Ultra Series Inswing Entrance Door (2-1/4” Panel) 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42E862C" w14:textId="7811CC17" w:rsidR="00E03FE5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0.24</w:t>
            </w:r>
          </w:p>
        </w:tc>
        <w:tc>
          <w:tcPr>
            <w:tcW w:w="1254" w:type="dxa"/>
            <w:gridSpan w:val="3"/>
            <w:shd w:val="clear" w:color="auto" w:fill="F2F2F2" w:themeFill="background1" w:themeFillShade="F2"/>
          </w:tcPr>
          <w:p w14:paraId="27DE187B" w14:textId="7D2CE63F" w:rsidR="00E03FE5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0.20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0E5E0000" w14:textId="0FFA7E1A" w:rsidR="00E03FE5" w:rsidRPr="005A389E" w:rsidRDefault="004F501F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0.21</w:t>
            </w:r>
            <w:r w:rsidRPr="004F501F">
              <w:rPr>
                <w:color w:val="000000" w:themeColor="text1"/>
                <w:vertAlign w:val="superscript"/>
              </w:rPr>
              <w:t>*</w:t>
            </w:r>
          </w:p>
        </w:tc>
        <w:tc>
          <w:tcPr>
            <w:tcW w:w="1255" w:type="dxa"/>
            <w:gridSpan w:val="2"/>
            <w:shd w:val="clear" w:color="auto" w:fill="F2F2F2" w:themeFill="background1" w:themeFillShade="F2"/>
          </w:tcPr>
          <w:p w14:paraId="4732C742" w14:textId="66CD2F20" w:rsidR="00E03FE5" w:rsidRPr="005A389E" w:rsidRDefault="004F501F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0.18</w:t>
            </w:r>
            <w:r w:rsidRPr="004F501F">
              <w:rPr>
                <w:color w:val="000000" w:themeColor="text1"/>
                <w:vertAlign w:val="superscript"/>
              </w:rPr>
              <w:t>*</w:t>
            </w:r>
          </w:p>
        </w:tc>
      </w:tr>
      <w:tr w:rsidR="00E03FE5" w:rsidRPr="005A389E" w14:paraId="7A2A0E5C" w14:textId="77777777" w:rsidTr="00A7524B">
        <w:tc>
          <w:tcPr>
            <w:tcW w:w="4343" w:type="dxa"/>
            <w:tcBorders>
              <w:right w:val="single" w:sz="4" w:space="0" w:color="auto"/>
            </w:tcBorders>
          </w:tcPr>
          <w:p w14:paraId="2DC7BCCD" w14:textId="4E960C7B" w:rsidR="00E03FE5" w:rsidRPr="005A389E" w:rsidRDefault="00E03FE5" w:rsidP="00032D97">
            <w:pPr>
              <w:ind w:right="-36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Ultra Series Outswing Entrance Door (2-1/4” Panel) 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14:paraId="62A2C284" w14:textId="07722A85" w:rsidR="00E03FE5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0.27</w:t>
            </w:r>
          </w:p>
        </w:tc>
        <w:tc>
          <w:tcPr>
            <w:tcW w:w="1254" w:type="dxa"/>
            <w:gridSpan w:val="3"/>
          </w:tcPr>
          <w:p w14:paraId="190D1BB8" w14:textId="47F7D8BE" w:rsidR="00E03FE5" w:rsidRPr="005A389E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0.22</w:t>
            </w:r>
          </w:p>
        </w:tc>
        <w:tc>
          <w:tcPr>
            <w:tcW w:w="1254" w:type="dxa"/>
          </w:tcPr>
          <w:p w14:paraId="26ED2C8D" w14:textId="17C4751A" w:rsidR="00E03FE5" w:rsidRPr="005A389E" w:rsidRDefault="004F501F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0.23</w:t>
            </w:r>
            <w:r w:rsidRPr="004F501F">
              <w:rPr>
                <w:color w:val="000000" w:themeColor="text1"/>
                <w:vertAlign w:val="superscript"/>
              </w:rPr>
              <w:t>*</w:t>
            </w:r>
          </w:p>
        </w:tc>
        <w:tc>
          <w:tcPr>
            <w:tcW w:w="1255" w:type="dxa"/>
            <w:gridSpan w:val="2"/>
          </w:tcPr>
          <w:p w14:paraId="73D2D45E" w14:textId="6895BFCE" w:rsidR="00E03FE5" w:rsidRPr="005A389E" w:rsidRDefault="004F501F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0.20</w:t>
            </w:r>
            <w:r w:rsidRPr="004F501F">
              <w:rPr>
                <w:color w:val="000000" w:themeColor="text1"/>
                <w:vertAlign w:val="superscript"/>
              </w:rPr>
              <w:t>*</w:t>
            </w:r>
          </w:p>
        </w:tc>
      </w:tr>
      <w:tr w:rsidR="00E03FE5" w:rsidRPr="005A389E" w14:paraId="1D23E5EE" w14:textId="77777777" w:rsidTr="00A7524B">
        <w:tc>
          <w:tcPr>
            <w:tcW w:w="4343" w:type="dxa"/>
            <w:tcBorders>
              <w:right w:val="single" w:sz="4" w:space="0" w:color="auto"/>
            </w:tcBorders>
          </w:tcPr>
          <w:p w14:paraId="5D015F88" w14:textId="62D7A7DD" w:rsidR="00E03FE5" w:rsidRDefault="00E03FE5" w:rsidP="00032D97">
            <w:pPr>
              <w:ind w:right="-360"/>
              <w:contextualSpacing/>
              <w:rPr>
                <w:color w:val="000000" w:themeColor="text1"/>
              </w:rPr>
            </w:pP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14:paraId="18BAD387" w14:textId="3758C057" w:rsidR="00E03FE5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</w:tcPr>
          <w:p w14:paraId="5251A3D4" w14:textId="44A63554" w:rsidR="00E03FE5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28" w:type="dxa"/>
            <w:gridSpan w:val="3"/>
          </w:tcPr>
          <w:p w14:paraId="2106E84A" w14:textId="2AE885E9" w:rsidR="00E03FE5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29" w:type="dxa"/>
          </w:tcPr>
          <w:p w14:paraId="210A246B" w14:textId="69570C8F" w:rsidR="00E03FE5" w:rsidRDefault="00E03FE5" w:rsidP="00032D97">
            <w:pPr>
              <w:ind w:right="-360"/>
              <w:contextualSpacing/>
              <w:jc w:val="center"/>
              <w:rPr>
                <w:color w:val="000000" w:themeColor="text1"/>
              </w:rPr>
            </w:pPr>
          </w:p>
        </w:tc>
      </w:tr>
    </w:tbl>
    <w:p w14:paraId="7BCD1B32" w14:textId="2CC8B55E" w:rsidR="004F501F" w:rsidRPr="00032D97" w:rsidRDefault="004F501F" w:rsidP="00A7524B">
      <w:pPr>
        <w:ind w:right="-360"/>
        <w:jc w:val="right"/>
        <w:rPr>
          <w:i/>
          <w:iCs/>
          <w:color w:val="000000" w:themeColor="text1"/>
        </w:rPr>
      </w:pPr>
      <w:r w:rsidRPr="00032D97">
        <w:rPr>
          <w:i/>
          <w:iCs/>
          <w:color w:val="000000" w:themeColor="text1"/>
        </w:rPr>
        <w:t xml:space="preserve">* This indicates a computer simulated U-value. </w:t>
      </w:r>
    </w:p>
    <w:p w14:paraId="2C8F53CF" w14:textId="77777777" w:rsidR="004F501F" w:rsidRDefault="004F501F" w:rsidP="00032D97">
      <w:pPr>
        <w:ind w:right="-360"/>
        <w:rPr>
          <w:color w:val="000000" w:themeColor="text1"/>
        </w:rPr>
      </w:pPr>
    </w:p>
    <w:p w14:paraId="5CDD779D" w14:textId="1DC117E2" w:rsidR="0030597F" w:rsidRPr="00A7524B" w:rsidRDefault="0030597F" w:rsidP="00032D97">
      <w:pPr>
        <w:ind w:right="-360"/>
        <w:rPr>
          <w:color w:val="000000" w:themeColor="text1"/>
          <w:sz w:val="22"/>
          <w:szCs w:val="22"/>
        </w:rPr>
      </w:pPr>
      <w:r w:rsidRPr="00A7524B">
        <w:rPr>
          <w:color w:val="000000" w:themeColor="text1"/>
          <w:sz w:val="22"/>
          <w:szCs w:val="22"/>
        </w:rPr>
        <w:t xml:space="preserve">To view a full list of Kolbe products and performance values, visit the Energy Performance Resource page at </w:t>
      </w:r>
      <w:hyperlink r:id="rId7" w:history="1">
        <w:r w:rsidRPr="00A7524B">
          <w:rPr>
            <w:rStyle w:val="Hyperlink"/>
            <w:sz w:val="22"/>
            <w:szCs w:val="22"/>
          </w:rPr>
          <w:t>kolbewindows.com/resources/professional-tools/energy-performance</w:t>
        </w:r>
      </w:hyperlink>
      <w:r w:rsidRPr="00A7524B">
        <w:rPr>
          <w:color w:val="000000" w:themeColor="text1"/>
          <w:sz w:val="22"/>
          <w:szCs w:val="22"/>
        </w:rPr>
        <w:t>.</w:t>
      </w:r>
      <w:r w:rsidR="00E03FE5" w:rsidRPr="00A7524B">
        <w:rPr>
          <w:color w:val="000000" w:themeColor="text1"/>
          <w:sz w:val="22"/>
          <w:szCs w:val="22"/>
        </w:rPr>
        <w:t xml:space="preserve"> New product types featuring VIG glass options </w:t>
      </w:r>
      <w:r w:rsidR="004F501F" w:rsidRPr="00A7524B">
        <w:rPr>
          <w:color w:val="000000" w:themeColor="text1"/>
          <w:sz w:val="22"/>
          <w:szCs w:val="22"/>
        </w:rPr>
        <w:t>will be</w:t>
      </w:r>
      <w:r w:rsidR="00E03FE5" w:rsidRPr="00A7524B">
        <w:rPr>
          <w:color w:val="000000" w:themeColor="text1"/>
          <w:sz w:val="22"/>
          <w:szCs w:val="22"/>
        </w:rPr>
        <w:t xml:space="preserve"> added to the database weekly.</w:t>
      </w:r>
    </w:p>
    <w:p w14:paraId="23EE944C" w14:textId="77777777" w:rsidR="000A6614" w:rsidRPr="00A7524B" w:rsidRDefault="000A6614" w:rsidP="00032D97">
      <w:pPr>
        <w:ind w:right="-360"/>
        <w:contextualSpacing/>
        <w:rPr>
          <w:color w:val="000000" w:themeColor="text1"/>
          <w:sz w:val="22"/>
          <w:szCs w:val="22"/>
        </w:rPr>
      </w:pPr>
    </w:p>
    <w:p w14:paraId="0FE33403" w14:textId="2B4C29DC" w:rsidR="00094BC8" w:rsidRPr="00A7524B" w:rsidRDefault="00B52598" w:rsidP="00032D97">
      <w:pPr>
        <w:ind w:right="-360"/>
        <w:contextualSpacing/>
        <w:rPr>
          <w:color w:val="000000" w:themeColor="text1"/>
          <w:sz w:val="22"/>
          <w:szCs w:val="22"/>
        </w:rPr>
      </w:pPr>
      <w:r w:rsidRPr="00A7524B">
        <w:rPr>
          <w:color w:val="000000" w:themeColor="text1"/>
          <w:sz w:val="22"/>
          <w:szCs w:val="22"/>
        </w:rPr>
        <w:t>Kolbe and LuxWall began their partnership in February 2024</w:t>
      </w:r>
      <w:r w:rsidR="00740897" w:rsidRPr="00A7524B">
        <w:rPr>
          <w:color w:val="000000" w:themeColor="text1"/>
          <w:sz w:val="22"/>
          <w:szCs w:val="22"/>
        </w:rPr>
        <w:t>,</w:t>
      </w:r>
      <w:r w:rsidRPr="00A7524B">
        <w:rPr>
          <w:color w:val="000000" w:themeColor="text1"/>
          <w:sz w:val="22"/>
          <w:szCs w:val="22"/>
        </w:rPr>
        <w:t xml:space="preserve"> </w:t>
      </w:r>
      <w:r w:rsidR="00740897" w:rsidRPr="00A7524B">
        <w:rPr>
          <w:color w:val="000000" w:themeColor="text1"/>
          <w:sz w:val="22"/>
          <w:szCs w:val="22"/>
        </w:rPr>
        <w:t>united by a shared vision to redefine window and door performance.</w:t>
      </w:r>
      <w:r w:rsidR="005F602D" w:rsidRPr="00A7524B">
        <w:rPr>
          <w:color w:val="000000" w:themeColor="text1"/>
          <w:sz w:val="22"/>
          <w:szCs w:val="22"/>
        </w:rPr>
        <w:t xml:space="preserve"> </w:t>
      </w:r>
      <w:r w:rsidR="00F55A1C" w:rsidRPr="00A7524B">
        <w:rPr>
          <w:color w:val="000000" w:themeColor="text1"/>
          <w:sz w:val="22"/>
          <w:szCs w:val="22"/>
        </w:rPr>
        <w:t>With fenestration playing a critical role in a building’s energy profile, Kolbe’s VIG offerings help customers reduce energy waste without compromising design.</w:t>
      </w:r>
    </w:p>
    <w:p w14:paraId="16C3070D" w14:textId="77777777" w:rsidR="002E170D" w:rsidRPr="00A7524B" w:rsidRDefault="002E170D" w:rsidP="00032D97">
      <w:pPr>
        <w:ind w:right="-360"/>
        <w:contextualSpacing/>
        <w:rPr>
          <w:color w:val="000000" w:themeColor="text1"/>
          <w:sz w:val="22"/>
          <w:szCs w:val="22"/>
        </w:rPr>
      </w:pPr>
    </w:p>
    <w:p w14:paraId="64A0167E" w14:textId="4A38AFA1" w:rsidR="00094BC8" w:rsidRPr="00A7524B" w:rsidRDefault="00094BC8" w:rsidP="00032D97">
      <w:pPr>
        <w:ind w:right="-360"/>
        <w:contextualSpacing/>
        <w:rPr>
          <w:color w:val="000000" w:themeColor="text1"/>
          <w:sz w:val="22"/>
          <w:szCs w:val="22"/>
        </w:rPr>
      </w:pPr>
      <w:r w:rsidRPr="00A7524B">
        <w:rPr>
          <w:color w:val="000000" w:themeColor="text1"/>
          <w:sz w:val="22"/>
          <w:szCs w:val="22"/>
        </w:rPr>
        <w:t>“Extensive testing and verification</w:t>
      </w:r>
      <w:r w:rsidR="007D438E" w:rsidRPr="00A7524B">
        <w:rPr>
          <w:color w:val="000000" w:themeColor="text1"/>
          <w:sz w:val="22"/>
          <w:szCs w:val="22"/>
        </w:rPr>
        <w:t xml:space="preserve"> processes</w:t>
      </w:r>
      <w:r w:rsidRPr="00A7524B">
        <w:rPr>
          <w:color w:val="000000" w:themeColor="text1"/>
          <w:sz w:val="22"/>
          <w:szCs w:val="22"/>
        </w:rPr>
        <w:t xml:space="preserve"> have shown</w:t>
      </w:r>
      <w:r w:rsidR="007D438E" w:rsidRPr="00A7524B">
        <w:rPr>
          <w:color w:val="000000" w:themeColor="text1"/>
          <w:sz w:val="22"/>
          <w:szCs w:val="22"/>
        </w:rPr>
        <w:t xml:space="preserve"> </w:t>
      </w:r>
      <w:r w:rsidRPr="00A7524B">
        <w:rPr>
          <w:color w:val="000000" w:themeColor="text1"/>
          <w:sz w:val="22"/>
          <w:szCs w:val="22"/>
        </w:rPr>
        <w:t xml:space="preserve">that Enthermal and Enthermal Plus are </w:t>
      </w:r>
      <w:r w:rsidR="00C464D5" w:rsidRPr="00A7524B">
        <w:rPr>
          <w:color w:val="000000" w:themeColor="text1"/>
          <w:sz w:val="22"/>
          <w:szCs w:val="22"/>
        </w:rPr>
        <w:t xml:space="preserve">capable of addressing </w:t>
      </w:r>
      <w:r w:rsidR="00600527" w:rsidRPr="00A7524B">
        <w:rPr>
          <w:color w:val="000000" w:themeColor="text1"/>
          <w:sz w:val="22"/>
          <w:szCs w:val="22"/>
        </w:rPr>
        <w:t>essential</w:t>
      </w:r>
      <w:r w:rsidR="00C464D5" w:rsidRPr="00A7524B">
        <w:rPr>
          <w:color w:val="000000" w:themeColor="text1"/>
          <w:sz w:val="22"/>
          <w:szCs w:val="22"/>
        </w:rPr>
        <w:t xml:space="preserve"> </w:t>
      </w:r>
      <w:r w:rsidRPr="00A7524B">
        <w:rPr>
          <w:color w:val="000000" w:themeColor="text1"/>
          <w:sz w:val="22"/>
          <w:szCs w:val="22"/>
        </w:rPr>
        <w:t>window and door performance</w:t>
      </w:r>
      <w:r w:rsidR="00600527" w:rsidRPr="00A7524B">
        <w:rPr>
          <w:color w:val="000000" w:themeColor="text1"/>
          <w:sz w:val="22"/>
          <w:szCs w:val="22"/>
        </w:rPr>
        <w:t xml:space="preserve"> needs</w:t>
      </w:r>
      <w:r w:rsidR="00C464D5" w:rsidRPr="00A7524B">
        <w:rPr>
          <w:color w:val="000000" w:themeColor="text1"/>
          <w:sz w:val="22"/>
          <w:szCs w:val="22"/>
        </w:rPr>
        <w:t xml:space="preserve"> today</w:t>
      </w:r>
      <w:r w:rsidRPr="00A7524B">
        <w:rPr>
          <w:color w:val="000000" w:themeColor="text1"/>
          <w:sz w:val="22"/>
          <w:szCs w:val="22"/>
        </w:rPr>
        <w:t xml:space="preserve">,” said John Budzynski, </w:t>
      </w:r>
      <w:r w:rsidR="00B82710" w:rsidRPr="00A7524B">
        <w:rPr>
          <w:color w:val="000000" w:themeColor="text1"/>
          <w:sz w:val="22"/>
          <w:szCs w:val="22"/>
        </w:rPr>
        <w:t>p</w:t>
      </w:r>
      <w:r w:rsidR="00C464D5" w:rsidRPr="00A7524B">
        <w:rPr>
          <w:color w:val="000000" w:themeColor="text1"/>
          <w:sz w:val="22"/>
          <w:szCs w:val="22"/>
        </w:rPr>
        <w:t xml:space="preserve">roduct </w:t>
      </w:r>
      <w:r w:rsidR="00B82710" w:rsidRPr="00A7524B">
        <w:rPr>
          <w:color w:val="000000" w:themeColor="text1"/>
          <w:sz w:val="22"/>
          <w:szCs w:val="22"/>
        </w:rPr>
        <w:t>c</w:t>
      </w:r>
      <w:r w:rsidR="00C464D5" w:rsidRPr="00A7524B">
        <w:rPr>
          <w:color w:val="000000" w:themeColor="text1"/>
          <w:sz w:val="22"/>
          <w:szCs w:val="22"/>
        </w:rPr>
        <w:t xml:space="preserve">ertification </w:t>
      </w:r>
      <w:r w:rsidR="00B82710" w:rsidRPr="00A7524B">
        <w:rPr>
          <w:color w:val="000000" w:themeColor="text1"/>
          <w:sz w:val="22"/>
          <w:szCs w:val="22"/>
        </w:rPr>
        <w:t>m</w:t>
      </w:r>
      <w:r w:rsidR="00C464D5" w:rsidRPr="00A7524B">
        <w:rPr>
          <w:color w:val="000000" w:themeColor="text1"/>
          <w:sz w:val="22"/>
          <w:szCs w:val="22"/>
        </w:rPr>
        <w:t>anager at Kolbe. “</w:t>
      </w:r>
      <w:r w:rsidR="00600527" w:rsidRPr="00A7524B">
        <w:rPr>
          <w:color w:val="000000" w:themeColor="text1"/>
          <w:sz w:val="22"/>
          <w:szCs w:val="22"/>
        </w:rPr>
        <w:t xml:space="preserve">Energy codes are evolving. Building trends are changing. Renovation </w:t>
      </w:r>
      <w:r w:rsidR="009C3BC7" w:rsidRPr="00A7524B">
        <w:rPr>
          <w:color w:val="000000" w:themeColor="text1"/>
          <w:sz w:val="22"/>
          <w:szCs w:val="22"/>
        </w:rPr>
        <w:t>goals</w:t>
      </w:r>
      <w:r w:rsidR="00600527" w:rsidRPr="00A7524B">
        <w:rPr>
          <w:color w:val="000000" w:themeColor="text1"/>
          <w:sz w:val="22"/>
          <w:szCs w:val="22"/>
        </w:rPr>
        <w:t xml:space="preserve"> are </w:t>
      </w:r>
      <w:r w:rsidR="007D438E" w:rsidRPr="00A7524B">
        <w:rPr>
          <w:color w:val="000000" w:themeColor="text1"/>
          <w:sz w:val="22"/>
          <w:szCs w:val="22"/>
        </w:rPr>
        <w:t>transforming</w:t>
      </w:r>
      <w:r w:rsidR="00600527" w:rsidRPr="00A7524B">
        <w:rPr>
          <w:color w:val="000000" w:themeColor="text1"/>
          <w:sz w:val="22"/>
          <w:szCs w:val="22"/>
        </w:rPr>
        <w:t xml:space="preserve">. With </w:t>
      </w:r>
      <w:r w:rsidR="005F602D" w:rsidRPr="00A7524B">
        <w:rPr>
          <w:color w:val="000000" w:themeColor="text1"/>
          <w:sz w:val="22"/>
          <w:szCs w:val="22"/>
        </w:rPr>
        <w:t xml:space="preserve">novel, consistent and flexible options like Enthermal and Enthermal </w:t>
      </w:r>
      <w:r w:rsidR="007D438E" w:rsidRPr="00A7524B">
        <w:rPr>
          <w:color w:val="000000" w:themeColor="text1"/>
          <w:sz w:val="22"/>
          <w:szCs w:val="22"/>
        </w:rPr>
        <w:t>P</w:t>
      </w:r>
      <w:r w:rsidR="005F602D" w:rsidRPr="00A7524B">
        <w:rPr>
          <w:color w:val="000000" w:themeColor="text1"/>
          <w:sz w:val="22"/>
          <w:szCs w:val="22"/>
        </w:rPr>
        <w:t>lus</w:t>
      </w:r>
      <w:r w:rsidR="007D438E" w:rsidRPr="00A7524B">
        <w:rPr>
          <w:color w:val="000000" w:themeColor="text1"/>
          <w:sz w:val="22"/>
          <w:szCs w:val="22"/>
        </w:rPr>
        <w:t>, Kolbe is more prepared than ever to ensure our customers can design</w:t>
      </w:r>
      <w:r w:rsidR="00921D5E" w:rsidRPr="00A7524B">
        <w:rPr>
          <w:color w:val="000000" w:themeColor="text1"/>
          <w:sz w:val="22"/>
          <w:szCs w:val="22"/>
        </w:rPr>
        <w:t>,</w:t>
      </w:r>
      <w:r w:rsidR="007D438E" w:rsidRPr="00A7524B">
        <w:rPr>
          <w:color w:val="000000" w:themeColor="text1"/>
          <w:sz w:val="22"/>
          <w:szCs w:val="22"/>
        </w:rPr>
        <w:t xml:space="preserve"> build and live with the future </w:t>
      </w:r>
      <w:r w:rsidR="0018024F" w:rsidRPr="00A7524B">
        <w:rPr>
          <w:color w:val="000000" w:themeColor="text1"/>
          <w:sz w:val="22"/>
          <w:szCs w:val="22"/>
        </w:rPr>
        <w:t>in focus.”</w:t>
      </w:r>
    </w:p>
    <w:p w14:paraId="00098FB1" w14:textId="77777777" w:rsidR="007D438E" w:rsidRPr="00A7524B" w:rsidRDefault="007D438E" w:rsidP="00032D97">
      <w:pPr>
        <w:ind w:right="-360"/>
        <w:contextualSpacing/>
        <w:rPr>
          <w:color w:val="000000" w:themeColor="text1"/>
          <w:sz w:val="22"/>
          <w:szCs w:val="22"/>
        </w:rPr>
      </w:pPr>
    </w:p>
    <w:p w14:paraId="125EFB2F" w14:textId="7C0EC7D7" w:rsidR="007D438E" w:rsidRPr="00A7524B" w:rsidRDefault="007D438E" w:rsidP="00032D97">
      <w:pPr>
        <w:ind w:right="-360"/>
        <w:contextualSpacing/>
        <w:rPr>
          <w:color w:val="000000" w:themeColor="text1"/>
          <w:sz w:val="22"/>
          <w:szCs w:val="22"/>
        </w:rPr>
      </w:pPr>
      <w:hyperlink r:id="rId8" w:history="1">
        <w:r w:rsidR="00230520">
          <w:rPr>
            <w:rStyle w:val="Hyperlink"/>
            <w:color w:val="auto"/>
            <w:sz w:val="22"/>
            <w:szCs w:val="22"/>
          </w:rPr>
          <w:t>Contact a local Kolbe partner</w:t>
        </w:r>
      </w:hyperlink>
      <w:r w:rsidRPr="00A7524B">
        <w:rPr>
          <w:color w:val="000000" w:themeColor="text1"/>
          <w:sz w:val="22"/>
          <w:szCs w:val="22"/>
        </w:rPr>
        <w:t xml:space="preserve"> to </w:t>
      </w:r>
      <w:r w:rsidR="00227C24" w:rsidRPr="00A7524B">
        <w:rPr>
          <w:color w:val="000000" w:themeColor="text1"/>
          <w:sz w:val="22"/>
          <w:szCs w:val="22"/>
        </w:rPr>
        <w:t>learn more about incorporating LuxWall’s Enthermal and Enthermal Plus into current and future projects.</w:t>
      </w:r>
    </w:p>
    <w:p w14:paraId="1AC57A2B" w14:textId="77777777" w:rsidR="00D860AA" w:rsidRDefault="00D860AA" w:rsidP="00032D97">
      <w:pPr>
        <w:ind w:right="-360"/>
        <w:contextualSpacing/>
        <w:rPr>
          <w:i/>
          <w:iCs/>
          <w:color w:val="000000" w:themeColor="text1"/>
        </w:rPr>
      </w:pPr>
    </w:p>
    <w:p w14:paraId="56CFF166" w14:textId="77777777" w:rsidR="00A7524B" w:rsidRPr="003C347C" w:rsidRDefault="00A7524B" w:rsidP="00032D97">
      <w:pPr>
        <w:ind w:right="-360"/>
        <w:contextualSpacing/>
        <w:rPr>
          <w:i/>
          <w:iCs/>
          <w:color w:val="000000" w:themeColor="text1"/>
        </w:rPr>
      </w:pPr>
    </w:p>
    <w:p w14:paraId="7E49C56B" w14:textId="6A517ABF" w:rsidR="00AE336F" w:rsidRPr="00876635" w:rsidRDefault="00757BCF" w:rsidP="00032D97">
      <w:pPr>
        <w:ind w:right="-360"/>
        <w:contextualSpacing/>
        <w:rPr>
          <w:i/>
          <w:iCs/>
          <w:color w:val="000000" w:themeColor="text1"/>
        </w:rPr>
      </w:pPr>
      <w:r w:rsidRPr="00876635">
        <w:rPr>
          <w:i/>
          <w:iCs/>
          <w:color w:val="000000" w:themeColor="text1"/>
        </w:rPr>
        <w:t>What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began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1946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</w:t>
      </w:r>
      <w:r>
        <w:rPr>
          <w:i/>
          <w:iCs/>
          <w:color w:val="000000" w:themeColor="text1"/>
        </w:rPr>
        <w:t xml:space="preserve"> </w:t>
      </w:r>
      <w:hyperlink r:id="rId9" w:history="1">
        <w:r w:rsidRPr="00876635">
          <w:rPr>
            <w:rStyle w:val="Hyperlink"/>
            <w:i/>
            <w:iCs/>
            <w:color w:val="000000" w:themeColor="text1"/>
          </w:rPr>
          <w:t>two-brother</w:t>
        </w:r>
        <w:r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team</w:t>
        </w:r>
      </w:hyperlink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has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grown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into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internationally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respected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manufacturing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company.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Kolbe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Windows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&amp;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Doors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is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one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of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the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nation’s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leading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manufacturers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of</w:t>
      </w:r>
      <w:r>
        <w:rPr>
          <w:i/>
          <w:iCs/>
          <w:color w:val="000000" w:themeColor="text1"/>
        </w:rPr>
        <w:t xml:space="preserve"> </w:t>
      </w:r>
      <w:hyperlink r:id="rId10" w:history="1">
        <w:r w:rsidRPr="00876635">
          <w:rPr>
            <w:rStyle w:val="Hyperlink"/>
            <w:i/>
            <w:iCs/>
            <w:color w:val="000000" w:themeColor="text1"/>
          </w:rPr>
          <w:t>windows</w:t>
        </w:r>
        <w:r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and</w:t>
        </w:r>
        <w:r>
          <w:rPr>
            <w:rStyle w:val="Hyperlink"/>
            <w:i/>
            <w:iCs/>
            <w:color w:val="000000" w:themeColor="text1"/>
          </w:rPr>
          <w:t xml:space="preserve"> </w:t>
        </w:r>
        <w:r w:rsidRPr="00876635">
          <w:rPr>
            <w:rStyle w:val="Hyperlink"/>
            <w:i/>
            <w:iCs/>
            <w:color w:val="000000" w:themeColor="text1"/>
          </w:rPr>
          <w:t>doors</w:t>
        </w:r>
      </w:hyperlink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for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residential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and</w:t>
      </w:r>
      <w:r>
        <w:rPr>
          <w:i/>
          <w:iCs/>
          <w:color w:val="000000" w:themeColor="text1"/>
        </w:rPr>
        <w:t xml:space="preserve"> </w:t>
      </w:r>
      <w:hyperlink r:id="rId11" w:history="1">
        <w:r w:rsidRPr="00876635">
          <w:rPr>
            <w:rStyle w:val="Hyperlink"/>
            <w:i/>
            <w:iCs/>
            <w:color w:val="000000" w:themeColor="text1"/>
          </w:rPr>
          <w:t>commercial</w:t>
        </w:r>
      </w:hyperlink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markets.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After</w:t>
      </w:r>
      <w:r>
        <w:rPr>
          <w:i/>
          <w:iCs/>
          <w:color w:val="000000" w:themeColor="text1"/>
        </w:rPr>
        <w:t xml:space="preserve"> </w:t>
      </w:r>
      <w:r w:rsidR="00921D5E">
        <w:rPr>
          <w:i/>
          <w:iCs/>
          <w:color w:val="000000" w:themeColor="text1"/>
        </w:rPr>
        <w:t xml:space="preserve">nearly 80 </w:t>
      </w:r>
      <w:r w:rsidRPr="00876635">
        <w:rPr>
          <w:i/>
          <w:iCs/>
          <w:color w:val="000000" w:themeColor="text1"/>
        </w:rPr>
        <w:t>years,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Kolbe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products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are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best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known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for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superior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quality,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custom</w:t>
      </w:r>
      <w:r>
        <w:rPr>
          <w:i/>
          <w:iCs/>
          <w:color w:val="000000" w:themeColor="text1"/>
        </w:rPr>
        <w:t xml:space="preserve"> </w:t>
      </w:r>
      <w:hyperlink r:id="rId12" w:history="1">
        <w:r w:rsidRPr="00876635">
          <w:rPr>
            <w:rStyle w:val="Hyperlink"/>
            <w:i/>
            <w:iCs/>
            <w:color w:val="000000" w:themeColor="text1"/>
          </w:rPr>
          <w:t>craftsmanship</w:t>
        </w:r>
      </w:hyperlink>
      <w:r w:rsidRPr="00876635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attention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to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detail,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well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as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innovative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and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unique</w:t>
      </w:r>
      <w:r>
        <w:rPr>
          <w:i/>
          <w:iCs/>
          <w:color w:val="000000" w:themeColor="text1"/>
        </w:rPr>
        <w:t xml:space="preserve"> </w:t>
      </w:r>
      <w:r w:rsidRPr="00876635">
        <w:rPr>
          <w:i/>
          <w:iCs/>
          <w:color w:val="000000" w:themeColor="text1"/>
        </w:rPr>
        <w:t>designs.</w:t>
      </w:r>
    </w:p>
    <w:p w14:paraId="6F278E62" w14:textId="77777777" w:rsidR="00AE336F" w:rsidRPr="003C347C" w:rsidRDefault="00AE336F" w:rsidP="00032D97">
      <w:pPr>
        <w:ind w:right="-360"/>
        <w:contextualSpacing/>
        <w:rPr>
          <w:i/>
          <w:iCs/>
          <w:color w:val="000000" w:themeColor="text1"/>
        </w:rPr>
      </w:pPr>
    </w:p>
    <w:p w14:paraId="034460AD" w14:textId="45AF1762" w:rsidR="00757BCF" w:rsidRPr="005D271E" w:rsidRDefault="00AE336F" w:rsidP="00032D97">
      <w:pPr>
        <w:ind w:right="-360"/>
        <w:contextualSpacing/>
        <w:jc w:val="center"/>
        <w:rPr>
          <w:i/>
          <w:color w:val="000000" w:themeColor="text1"/>
        </w:rPr>
      </w:pPr>
      <w:r w:rsidRPr="003C347C">
        <w:rPr>
          <w:i/>
          <w:color w:val="000000" w:themeColor="text1"/>
        </w:rPr>
        <w:t>###</w:t>
      </w:r>
    </w:p>
    <w:sectPr w:rsidR="00757BCF" w:rsidRPr="005D2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D23C3"/>
    <w:multiLevelType w:val="hybridMultilevel"/>
    <w:tmpl w:val="5696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B4410"/>
    <w:multiLevelType w:val="multilevel"/>
    <w:tmpl w:val="BA2C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7308469">
    <w:abstractNumId w:val="0"/>
  </w:num>
  <w:num w:numId="2" w16cid:durableId="73828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CF"/>
    <w:rsid w:val="0000324B"/>
    <w:rsid w:val="00030ACA"/>
    <w:rsid w:val="000320B3"/>
    <w:rsid w:val="00032D97"/>
    <w:rsid w:val="000757C2"/>
    <w:rsid w:val="00094BC8"/>
    <w:rsid w:val="00095F97"/>
    <w:rsid w:val="000A6614"/>
    <w:rsid w:val="000D13A8"/>
    <w:rsid w:val="000D6E7A"/>
    <w:rsid w:val="00131207"/>
    <w:rsid w:val="001331F8"/>
    <w:rsid w:val="0013391F"/>
    <w:rsid w:val="00134187"/>
    <w:rsid w:val="00166E94"/>
    <w:rsid w:val="0018024F"/>
    <w:rsid w:val="00191676"/>
    <w:rsid w:val="00193ED6"/>
    <w:rsid w:val="00195322"/>
    <w:rsid w:val="001B68AF"/>
    <w:rsid w:val="001C3ED6"/>
    <w:rsid w:val="001F0DD1"/>
    <w:rsid w:val="00207ECE"/>
    <w:rsid w:val="00225555"/>
    <w:rsid w:val="00227C24"/>
    <w:rsid w:val="00230520"/>
    <w:rsid w:val="00261247"/>
    <w:rsid w:val="0026202A"/>
    <w:rsid w:val="0027686C"/>
    <w:rsid w:val="002A02E8"/>
    <w:rsid w:val="002A0FA2"/>
    <w:rsid w:val="002E170D"/>
    <w:rsid w:val="002E7E81"/>
    <w:rsid w:val="0030597F"/>
    <w:rsid w:val="003204DB"/>
    <w:rsid w:val="0034438F"/>
    <w:rsid w:val="00344658"/>
    <w:rsid w:val="00350BDC"/>
    <w:rsid w:val="00366257"/>
    <w:rsid w:val="00376FD9"/>
    <w:rsid w:val="003A21ED"/>
    <w:rsid w:val="003A2B55"/>
    <w:rsid w:val="003B6A3A"/>
    <w:rsid w:val="003E08B6"/>
    <w:rsid w:val="00413F32"/>
    <w:rsid w:val="00443ADC"/>
    <w:rsid w:val="004748D0"/>
    <w:rsid w:val="00493932"/>
    <w:rsid w:val="00494F55"/>
    <w:rsid w:val="004D26A1"/>
    <w:rsid w:val="004E1E41"/>
    <w:rsid w:val="004F3147"/>
    <w:rsid w:val="004F501F"/>
    <w:rsid w:val="00533C52"/>
    <w:rsid w:val="00555C22"/>
    <w:rsid w:val="00572C89"/>
    <w:rsid w:val="00576280"/>
    <w:rsid w:val="005A389E"/>
    <w:rsid w:val="005C1179"/>
    <w:rsid w:val="005C1D89"/>
    <w:rsid w:val="005D271E"/>
    <w:rsid w:val="005F602D"/>
    <w:rsid w:val="00600527"/>
    <w:rsid w:val="0060590B"/>
    <w:rsid w:val="00627896"/>
    <w:rsid w:val="00634AA1"/>
    <w:rsid w:val="00651A2F"/>
    <w:rsid w:val="007207C9"/>
    <w:rsid w:val="00740897"/>
    <w:rsid w:val="00757BCF"/>
    <w:rsid w:val="0076003C"/>
    <w:rsid w:val="007637F7"/>
    <w:rsid w:val="00765855"/>
    <w:rsid w:val="00766942"/>
    <w:rsid w:val="00776D6B"/>
    <w:rsid w:val="007945C1"/>
    <w:rsid w:val="007A2484"/>
    <w:rsid w:val="007A5B0F"/>
    <w:rsid w:val="007D0561"/>
    <w:rsid w:val="007D438E"/>
    <w:rsid w:val="008056DE"/>
    <w:rsid w:val="0082401D"/>
    <w:rsid w:val="008243BB"/>
    <w:rsid w:val="008524A6"/>
    <w:rsid w:val="008D087D"/>
    <w:rsid w:val="008D18F2"/>
    <w:rsid w:val="008E3EA2"/>
    <w:rsid w:val="008F23D6"/>
    <w:rsid w:val="00902E0F"/>
    <w:rsid w:val="00907A8D"/>
    <w:rsid w:val="00921D5E"/>
    <w:rsid w:val="00931E9C"/>
    <w:rsid w:val="009563A6"/>
    <w:rsid w:val="00972E01"/>
    <w:rsid w:val="00986F70"/>
    <w:rsid w:val="009B0721"/>
    <w:rsid w:val="009C3BC7"/>
    <w:rsid w:val="009D1B42"/>
    <w:rsid w:val="009E4D16"/>
    <w:rsid w:val="00A07FB6"/>
    <w:rsid w:val="00A21C22"/>
    <w:rsid w:val="00A27416"/>
    <w:rsid w:val="00A42B4E"/>
    <w:rsid w:val="00A44989"/>
    <w:rsid w:val="00A460B5"/>
    <w:rsid w:val="00A7524B"/>
    <w:rsid w:val="00A76F92"/>
    <w:rsid w:val="00A85AF2"/>
    <w:rsid w:val="00A96474"/>
    <w:rsid w:val="00AA6FE5"/>
    <w:rsid w:val="00AE1D12"/>
    <w:rsid w:val="00AE336F"/>
    <w:rsid w:val="00B141DD"/>
    <w:rsid w:val="00B27B39"/>
    <w:rsid w:val="00B52598"/>
    <w:rsid w:val="00B60484"/>
    <w:rsid w:val="00B70A04"/>
    <w:rsid w:val="00B82710"/>
    <w:rsid w:val="00B92CC3"/>
    <w:rsid w:val="00BA3A75"/>
    <w:rsid w:val="00BB17DC"/>
    <w:rsid w:val="00BC1254"/>
    <w:rsid w:val="00BD3C93"/>
    <w:rsid w:val="00BF44B6"/>
    <w:rsid w:val="00C01659"/>
    <w:rsid w:val="00C347A1"/>
    <w:rsid w:val="00C464D5"/>
    <w:rsid w:val="00C7381A"/>
    <w:rsid w:val="00C8501B"/>
    <w:rsid w:val="00C9258F"/>
    <w:rsid w:val="00CA79B0"/>
    <w:rsid w:val="00CD18DC"/>
    <w:rsid w:val="00CE73E9"/>
    <w:rsid w:val="00D23CE8"/>
    <w:rsid w:val="00D24085"/>
    <w:rsid w:val="00D50393"/>
    <w:rsid w:val="00D5633A"/>
    <w:rsid w:val="00D57701"/>
    <w:rsid w:val="00D621E9"/>
    <w:rsid w:val="00D860AA"/>
    <w:rsid w:val="00DA2D40"/>
    <w:rsid w:val="00DE3560"/>
    <w:rsid w:val="00E03FE5"/>
    <w:rsid w:val="00E066BB"/>
    <w:rsid w:val="00E80252"/>
    <w:rsid w:val="00E9560F"/>
    <w:rsid w:val="00ED34FD"/>
    <w:rsid w:val="00EF05DF"/>
    <w:rsid w:val="00F21C56"/>
    <w:rsid w:val="00F40C97"/>
    <w:rsid w:val="00F55A1C"/>
    <w:rsid w:val="00F744A3"/>
    <w:rsid w:val="00F91A64"/>
    <w:rsid w:val="00FE5F7D"/>
    <w:rsid w:val="00FF17CB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24F8"/>
  <w15:chartTrackingRefBased/>
  <w15:docId w15:val="{F92217BC-9C02-45D6-8C90-E5E1C151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614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B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B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B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B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B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B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B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B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B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B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B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B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B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B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B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B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757B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7BCF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60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1D5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E3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E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EA2"/>
    <w:rPr>
      <w:rFonts w:ascii="Times New Roman" w:eastAsia="MS Mincho" w:hAnsi="Times New Roman" w:cs="Times New Roman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EA2"/>
    <w:rPr>
      <w:rFonts w:ascii="Times New Roman" w:eastAsia="MS Mincho" w:hAnsi="Times New Roman" w:cs="Times New Roman"/>
      <w:b/>
      <w:bCs/>
      <w:kern w:val="0"/>
      <w:sz w:val="20"/>
      <w:szCs w:val="20"/>
      <w:lang w:eastAsia="ja-JP"/>
      <w14:ligatures w14:val="none"/>
    </w:rPr>
  </w:style>
  <w:style w:type="table" w:styleId="TableGrid">
    <w:name w:val="Table Grid"/>
    <w:basedOn w:val="TableNormal"/>
    <w:uiPriority w:val="39"/>
    <w:rsid w:val="0076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E7E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E7E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2E7E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350BDC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2D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bewindows.com/where-to-bu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lbewindows.com/resources/professional-tools/energy-performance" TargetMode="External"/><Relationship Id="rId12" Type="http://schemas.openxmlformats.org/officeDocument/2006/relationships/hyperlink" Target="https://www.kolbewindows.com/solutions/craftsmansh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kolbewindows.com/solutions/commercial-building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olbewindows.com/product-l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lbewindows.com/our-sto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E552-77D8-40B4-8194-E0B4B2AC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Dayton Hamann</dc:creator>
  <cp:keywords/>
  <dc:description/>
  <cp:lastModifiedBy>Heather West PR</cp:lastModifiedBy>
  <cp:revision>21</cp:revision>
  <dcterms:created xsi:type="dcterms:W3CDTF">2025-08-12T20:43:00Z</dcterms:created>
  <dcterms:modified xsi:type="dcterms:W3CDTF">2025-08-29T03:39:00Z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8b232b-a7b3-4e53-b87b-d7201d789c15_Enabled">
    <vt:lpwstr>true</vt:lpwstr>
  </property>
  <property fmtid="{D5CDD505-2E9C-101B-9397-08002B2CF9AE}" pid="3" name="MSIP_Label_3e8b232b-a7b3-4e53-b87b-d7201d789c15_SetDate">
    <vt:lpwstr>2025-07-11T15:07:32Z</vt:lpwstr>
  </property>
  <property fmtid="{D5CDD505-2E9C-101B-9397-08002B2CF9AE}" pid="4" name="MSIP_Label_3e8b232b-a7b3-4e53-b87b-d7201d789c15_Method">
    <vt:lpwstr>Standard</vt:lpwstr>
  </property>
  <property fmtid="{D5CDD505-2E9C-101B-9397-08002B2CF9AE}" pid="5" name="MSIP_Label_3e8b232b-a7b3-4e53-b87b-d7201d789c15_Name">
    <vt:lpwstr>defa4170-0d19-0005-0004-bc88714345d2</vt:lpwstr>
  </property>
  <property fmtid="{D5CDD505-2E9C-101B-9397-08002B2CF9AE}" pid="6" name="MSIP_Label_3e8b232b-a7b3-4e53-b87b-d7201d789c15_SiteId">
    <vt:lpwstr>451c870a-7eb0-406c-994a-2adce1747e0b</vt:lpwstr>
  </property>
  <property fmtid="{D5CDD505-2E9C-101B-9397-08002B2CF9AE}" pid="7" name="MSIP_Label_3e8b232b-a7b3-4e53-b87b-d7201d789c15_ActionId">
    <vt:lpwstr>ba80a367-da69-452f-83db-4c3f6ada42af</vt:lpwstr>
  </property>
  <property fmtid="{D5CDD505-2E9C-101B-9397-08002B2CF9AE}" pid="8" name="MSIP_Label_3e8b232b-a7b3-4e53-b87b-d7201d789c15_ContentBits">
    <vt:lpwstr>0</vt:lpwstr>
  </property>
  <property fmtid="{D5CDD505-2E9C-101B-9397-08002B2CF9AE}" pid="9" name="MSIP_Label_3e8b232b-a7b3-4e53-b87b-d7201d789c15_Tag">
    <vt:lpwstr>10, 3, 0, 1</vt:lpwstr>
  </property>
</Properties>
</file>