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8E658D" w:rsidRDefault="00C6046E" w:rsidP="00561B3B">
      <w:pPr>
        <w:ind w:right="8"/>
        <w:contextualSpacing/>
        <w:rPr>
          <w:rFonts w:ascii="Arial" w:hAnsi="Arial" w:cs="Arial"/>
          <w:i/>
          <w:sz w:val="18"/>
          <w:szCs w:val="18"/>
        </w:rPr>
      </w:pPr>
      <w:r w:rsidRPr="008E658D">
        <w:rPr>
          <w:rFonts w:ascii="Arial" w:hAnsi="Arial" w:cs="Arial"/>
          <w:i/>
          <w:sz w:val="18"/>
          <w:szCs w:val="18"/>
        </w:rPr>
        <w:t>Media</w:t>
      </w:r>
      <w:r w:rsidR="00FB4D8B" w:rsidRPr="008E658D">
        <w:rPr>
          <w:rFonts w:ascii="Arial" w:hAnsi="Arial" w:cs="Arial"/>
          <w:i/>
          <w:sz w:val="18"/>
          <w:szCs w:val="18"/>
        </w:rPr>
        <w:t xml:space="preserve"> </w:t>
      </w:r>
      <w:r w:rsidRPr="008E658D">
        <w:rPr>
          <w:rFonts w:ascii="Arial" w:hAnsi="Arial" w:cs="Arial"/>
          <w:i/>
          <w:sz w:val="18"/>
          <w:szCs w:val="18"/>
        </w:rPr>
        <w:t>contact:</w:t>
      </w:r>
      <w:r w:rsidR="00C904BF" w:rsidRPr="008E658D">
        <w:rPr>
          <w:rFonts w:ascii="Arial" w:hAnsi="Arial" w:cs="Arial"/>
          <w:i/>
          <w:sz w:val="18"/>
          <w:szCs w:val="18"/>
        </w:rPr>
        <w:t xml:space="preserve"> </w:t>
      </w:r>
      <w:r w:rsidRPr="008E658D">
        <w:rPr>
          <w:rFonts w:ascii="Arial" w:hAnsi="Arial" w:cs="Arial"/>
          <w:i/>
          <w:sz w:val="18"/>
          <w:szCs w:val="18"/>
        </w:rPr>
        <w:t>Heather</w:t>
      </w:r>
      <w:r w:rsidR="00FB4D8B" w:rsidRPr="008E658D">
        <w:rPr>
          <w:rFonts w:ascii="Arial" w:hAnsi="Arial" w:cs="Arial"/>
          <w:i/>
          <w:sz w:val="18"/>
          <w:szCs w:val="18"/>
        </w:rPr>
        <w:t xml:space="preserve"> </w:t>
      </w:r>
      <w:r w:rsidRPr="008E658D">
        <w:rPr>
          <w:rFonts w:ascii="Arial" w:hAnsi="Arial" w:cs="Arial"/>
          <w:i/>
          <w:sz w:val="18"/>
          <w:szCs w:val="18"/>
        </w:rPr>
        <w:t>West,</w:t>
      </w:r>
      <w:r w:rsidR="00FB4D8B" w:rsidRPr="008E658D">
        <w:rPr>
          <w:rFonts w:ascii="Arial" w:hAnsi="Arial" w:cs="Arial"/>
          <w:i/>
          <w:sz w:val="18"/>
          <w:szCs w:val="18"/>
        </w:rPr>
        <w:t xml:space="preserve"> </w:t>
      </w:r>
      <w:r w:rsidRPr="008E658D">
        <w:rPr>
          <w:rFonts w:ascii="Arial" w:hAnsi="Arial" w:cs="Arial"/>
          <w:i/>
          <w:sz w:val="18"/>
          <w:szCs w:val="18"/>
        </w:rPr>
        <w:t>612-724-8760,</w:t>
      </w:r>
      <w:r w:rsidR="00FB4D8B" w:rsidRPr="008E658D">
        <w:rPr>
          <w:rFonts w:ascii="Arial" w:hAnsi="Arial" w:cs="Arial"/>
          <w:i/>
          <w:sz w:val="18"/>
          <w:szCs w:val="18"/>
        </w:rPr>
        <w:t xml:space="preserve"> </w:t>
      </w:r>
      <w:r w:rsidRPr="008E658D">
        <w:rPr>
          <w:rFonts w:ascii="Arial" w:hAnsi="Arial" w:cs="Arial"/>
          <w:i/>
          <w:sz w:val="18"/>
          <w:szCs w:val="18"/>
        </w:rPr>
        <w:t>heather@heatherwestpr.com</w:t>
      </w:r>
    </w:p>
    <w:p w14:paraId="23BFB914" w14:textId="77777777" w:rsidR="003D4CA1" w:rsidRPr="008E658D" w:rsidRDefault="003D4CA1" w:rsidP="00561B3B">
      <w:pPr>
        <w:pStyle w:val="Heading1"/>
        <w:spacing w:before="0"/>
        <w:ind w:right="8"/>
        <w:contextualSpacing/>
        <w:rPr>
          <w:rFonts w:ascii="Arial" w:hAnsi="Arial" w:cs="Arial"/>
          <w:sz w:val="18"/>
          <w:szCs w:val="18"/>
          <w:lang w:val="en-US"/>
        </w:rPr>
      </w:pPr>
    </w:p>
    <w:p w14:paraId="028027CB" w14:textId="491DC56F" w:rsidR="007E08C8" w:rsidRPr="008E658D" w:rsidRDefault="007E08C8" w:rsidP="007E08C8">
      <w:pPr>
        <w:pStyle w:val="Heading1"/>
        <w:spacing w:before="0"/>
        <w:ind w:right="8"/>
        <w:contextualSpacing/>
        <w:jc w:val="center"/>
        <w:rPr>
          <w:rFonts w:ascii="Arial" w:hAnsi="Arial" w:cs="Arial"/>
          <w:sz w:val="24"/>
          <w:szCs w:val="24"/>
          <w:lang w:val="en-US"/>
        </w:rPr>
      </w:pPr>
      <w:r>
        <w:rPr>
          <w:rFonts w:ascii="Arial" w:hAnsi="Arial" w:cs="Arial"/>
          <w:lang w:val="en-US"/>
        </w:rPr>
        <w:t xml:space="preserve">York Region Administrative Centre Annex </w:t>
      </w:r>
      <w:r>
        <w:rPr>
          <w:rFonts w:ascii="Arial" w:hAnsi="Arial" w:cs="Arial"/>
          <w:lang w:val="en-US"/>
        </w:rPr>
        <w:t xml:space="preserve">features </w:t>
      </w:r>
      <w:r w:rsidRPr="008E658D">
        <w:rPr>
          <w:rFonts w:ascii="Arial" w:hAnsi="Arial" w:cs="Arial"/>
          <w:lang w:val="en-US"/>
        </w:rPr>
        <w:t>Rockfon’s ceilings</w:t>
      </w:r>
    </w:p>
    <w:p w14:paraId="17D1DDE2" w14:textId="77777777" w:rsidR="007E08C8" w:rsidRDefault="007E08C8" w:rsidP="0030196D">
      <w:pPr>
        <w:pStyle w:val="Heading1"/>
        <w:spacing w:before="0"/>
        <w:ind w:right="8"/>
        <w:contextualSpacing/>
        <w:jc w:val="center"/>
        <w:rPr>
          <w:rFonts w:ascii="Arial" w:hAnsi="Arial" w:cs="Arial"/>
          <w:i/>
          <w:iCs/>
          <w:sz w:val="24"/>
          <w:szCs w:val="24"/>
          <w:lang w:val="en-US"/>
        </w:rPr>
      </w:pPr>
      <w:r w:rsidRPr="007E08C8">
        <w:rPr>
          <w:rFonts w:ascii="Arial" w:hAnsi="Arial" w:cs="Arial"/>
          <w:i/>
          <w:iCs/>
          <w:sz w:val="24"/>
          <w:szCs w:val="24"/>
          <w:lang w:val="en-US"/>
        </w:rPr>
        <w:t>Contemporary civic building fosters a healthy environment</w:t>
      </w:r>
    </w:p>
    <w:p w14:paraId="57745FF2" w14:textId="327D9BE1" w:rsidR="007E08C8" w:rsidRPr="007E08C8" w:rsidRDefault="007E08C8" w:rsidP="0030196D">
      <w:pPr>
        <w:pStyle w:val="Heading1"/>
        <w:spacing w:before="0"/>
        <w:ind w:right="8"/>
        <w:contextualSpacing/>
        <w:jc w:val="center"/>
        <w:rPr>
          <w:rFonts w:ascii="Arial" w:hAnsi="Arial" w:cs="Arial"/>
          <w:i/>
          <w:iCs/>
          <w:sz w:val="24"/>
          <w:szCs w:val="24"/>
          <w:lang w:val="en-US"/>
        </w:rPr>
      </w:pPr>
      <w:r w:rsidRPr="007E08C8">
        <w:rPr>
          <w:rFonts w:ascii="Arial" w:hAnsi="Arial" w:cs="Arial"/>
          <w:i/>
          <w:iCs/>
          <w:sz w:val="24"/>
          <w:szCs w:val="24"/>
          <w:lang w:val="en-US"/>
        </w:rPr>
        <w:t>for government workers and public services</w:t>
      </w:r>
    </w:p>
    <w:p w14:paraId="1379A18B" w14:textId="77777777" w:rsidR="001C439A" w:rsidRPr="00FF743F" w:rsidRDefault="001C439A" w:rsidP="00561B3B">
      <w:pPr>
        <w:contextualSpacing/>
        <w:rPr>
          <w:rFonts w:ascii="Arial" w:hAnsi="Arial" w:cs="Arial"/>
          <w:sz w:val="18"/>
          <w:szCs w:val="18"/>
        </w:rPr>
      </w:pPr>
    </w:p>
    <w:p w14:paraId="273D7EAF" w14:textId="77777777" w:rsidR="007E08C8" w:rsidRPr="007E08C8" w:rsidRDefault="008D0DAF" w:rsidP="007E08C8">
      <w:pPr>
        <w:rPr>
          <w:rFonts w:ascii="Arial" w:hAnsi="Arial" w:cs="Arial"/>
        </w:rPr>
      </w:pPr>
      <w:r w:rsidRPr="007E08C8">
        <w:rPr>
          <w:rFonts w:ascii="Arial" w:hAnsi="Arial" w:cs="Arial"/>
        </w:rPr>
        <w:t>Chicago</w:t>
      </w:r>
      <w:r w:rsidR="00FB4D8B" w:rsidRPr="007E08C8">
        <w:rPr>
          <w:rFonts w:ascii="Arial" w:hAnsi="Arial" w:cs="Arial"/>
        </w:rPr>
        <w:t xml:space="preserve"> </w:t>
      </w:r>
      <w:r w:rsidRPr="007E08C8">
        <w:rPr>
          <w:rFonts w:ascii="Arial" w:hAnsi="Arial" w:cs="Arial"/>
        </w:rPr>
        <w:t>(</w:t>
      </w:r>
      <w:r w:rsidR="00225DAF" w:rsidRPr="007E08C8">
        <w:rPr>
          <w:rFonts w:ascii="Arial" w:hAnsi="Arial" w:cs="Arial"/>
        </w:rPr>
        <w:t>Dec</w:t>
      </w:r>
      <w:r w:rsidR="00FD7D65" w:rsidRPr="007E08C8">
        <w:rPr>
          <w:rFonts w:ascii="Arial" w:hAnsi="Arial" w:cs="Arial"/>
        </w:rPr>
        <w:t>.</w:t>
      </w:r>
      <w:r w:rsidR="00CD44F9" w:rsidRPr="007E08C8">
        <w:rPr>
          <w:rFonts w:ascii="Arial" w:hAnsi="Arial" w:cs="Arial"/>
        </w:rPr>
        <w:t xml:space="preserve"> </w:t>
      </w:r>
      <w:r w:rsidR="002D5003" w:rsidRPr="007E08C8">
        <w:rPr>
          <w:rFonts w:ascii="Arial" w:hAnsi="Arial" w:cs="Arial"/>
        </w:rPr>
        <w:t>202</w:t>
      </w:r>
      <w:r w:rsidR="005B5830" w:rsidRPr="007E08C8">
        <w:rPr>
          <w:rFonts w:ascii="Arial" w:hAnsi="Arial" w:cs="Arial"/>
        </w:rPr>
        <w:t>2</w:t>
      </w:r>
      <w:r w:rsidRPr="007E08C8">
        <w:rPr>
          <w:rFonts w:ascii="Arial" w:hAnsi="Arial" w:cs="Arial"/>
        </w:rPr>
        <w:t>)</w:t>
      </w:r>
      <w:r w:rsidR="00FB4D8B" w:rsidRPr="007E08C8">
        <w:rPr>
          <w:rFonts w:ascii="Arial" w:hAnsi="Arial" w:cs="Arial"/>
        </w:rPr>
        <w:t xml:space="preserve"> </w:t>
      </w:r>
      <w:r w:rsidRPr="007E08C8">
        <w:rPr>
          <w:rFonts w:ascii="Arial" w:hAnsi="Arial" w:cs="Arial"/>
        </w:rPr>
        <w:t>–</w:t>
      </w:r>
      <w:r w:rsidR="008E658D" w:rsidRPr="007E08C8">
        <w:rPr>
          <w:rFonts w:ascii="Arial" w:hAnsi="Arial" w:cs="Arial"/>
        </w:rPr>
        <w:t xml:space="preserve"> </w:t>
      </w:r>
      <w:r w:rsidR="007E08C8" w:rsidRPr="007E08C8">
        <w:rPr>
          <w:rFonts w:ascii="Arial" w:hAnsi="Arial" w:cs="Arial"/>
          <w:color w:val="000000"/>
        </w:rPr>
        <w:t xml:space="preserve">Exemplifying sustainable design and leadership, the </w:t>
      </w:r>
      <w:r w:rsidR="007E08C8" w:rsidRPr="007E08C8">
        <w:rPr>
          <w:rFonts w:ascii="Arial" w:hAnsi="Arial" w:cs="Arial"/>
        </w:rPr>
        <w:t>York Region Municipality’s new Administrative Centre Annex (ACA) at 17150 Yonge Street in Newmarket, Ontario, recently earned LEED</w:t>
      </w:r>
      <w:r w:rsidR="007E08C8" w:rsidRPr="007E08C8">
        <w:rPr>
          <w:rFonts w:ascii="Arial" w:hAnsi="Arial" w:cs="Arial"/>
          <w:vertAlign w:val="superscript"/>
        </w:rPr>
        <w:t>®</w:t>
      </w:r>
      <w:r w:rsidR="007E08C8" w:rsidRPr="007E08C8">
        <w:rPr>
          <w:rFonts w:ascii="Arial" w:hAnsi="Arial" w:cs="Arial"/>
        </w:rPr>
        <w:t xml:space="preserve"> Gold certification by the Canada Green Building Council.</w:t>
      </w:r>
    </w:p>
    <w:p w14:paraId="7D31D25E" w14:textId="77777777" w:rsidR="007E08C8" w:rsidRPr="007E08C8" w:rsidRDefault="007E08C8" w:rsidP="007E08C8">
      <w:pPr>
        <w:rPr>
          <w:rFonts w:ascii="Arial" w:hAnsi="Arial" w:cs="Arial"/>
        </w:rPr>
      </w:pPr>
    </w:p>
    <w:p w14:paraId="7B605555" w14:textId="77777777" w:rsidR="007E08C8" w:rsidRPr="007E08C8" w:rsidRDefault="007E08C8" w:rsidP="007E08C8">
      <w:pPr>
        <w:rPr>
          <w:rFonts w:ascii="Arial" w:hAnsi="Arial" w:cs="Arial"/>
          <w:color w:val="000000"/>
        </w:rPr>
      </w:pPr>
      <w:r w:rsidRPr="007E08C8">
        <w:rPr>
          <w:rFonts w:ascii="Arial" w:hAnsi="Arial" w:cs="Arial"/>
        </w:rPr>
        <w:t xml:space="preserve">WZMH Architects, working with Figure3 on the interior, designed the ACA as part of a </w:t>
      </w:r>
      <w:r w:rsidRPr="007E08C8">
        <w:rPr>
          <w:rFonts w:ascii="Arial" w:hAnsi="Arial" w:cs="Arial"/>
          <w:color w:val="000000"/>
        </w:rPr>
        <w:t xml:space="preserve">new 15-acre civic campus </w:t>
      </w:r>
      <w:r w:rsidRPr="007E08C8">
        <w:rPr>
          <w:rFonts w:ascii="Arial" w:hAnsi="Arial" w:cs="Arial"/>
        </w:rPr>
        <w:t>with a focus on environmental stewardship, occupant comfort and well-being, and an optimal user experience.</w:t>
      </w:r>
      <w:r w:rsidRPr="007E08C8">
        <w:rPr>
          <w:rFonts w:ascii="Arial" w:hAnsi="Arial" w:cs="Arial"/>
          <w:color w:val="000000"/>
        </w:rPr>
        <w:t xml:space="preserve"> </w:t>
      </w:r>
      <w:r w:rsidRPr="007E08C8">
        <w:rPr>
          <w:rFonts w:ascii="Arial" w:hAnsi="Arial" w:cs="Arial"/>
        </w:rPr>
        <w:t>The design team specified several of Rockfon acoustic stone wool and metal ceiling systems to help achieve the project’s indoor environmental quality, acoustic performance and biophilic goals.</w:t>
      </w:r>
    </w:p>
    <w:p w14:paraId="39B6A161" w14:textId="77777777" w:rsidR="007E08C8" w:rsidRPr="007E08C8" w:rsidRDefault="007E08C8" w:rsidP="007E08C8">
      <w:pPr>
        <w:rPr>
          <w:rFonts w:ascii="Arial" w:hAnsi="Arial" w:cs="Arial"/>
          <w:color w:val="000000"/>
        </w:rPr>
      </w:pPr>
    </w:p>
    <w:p w14:paraId="2E59D7B0" w14:textId="77777777" w:rsidR="007E08C8" w:rsidRPr="007E08C8" w:rsidRDefault="007E08C8" w:rsidP="007E08C8">
      <w:pPr>
        <w:rPr>
          <w:rFonts w:ascii="Arial" w:hAnsi="Arial" w:cs="Arial"/>
        </w:rPr>
      </w:pPr>
      <w:r w:rsidRPr="007E08C8">
        <w:rPr>
          <w:rFonts w:ascii="Arial" w:hAnsi="Arial" w:cs="Arial"/>
        </w:rPr>
        <w:t>“We wanted the building to look as contemporary as possible to reflect the age in which it is constructed,” stated WZMH. The eight-story, 422,000-square-foot government facility accommodates 1,500 workers and centralizes numerous public services including eight new courtrooms.</w:t>
      </w:r>
    </w:p>
    <w:p w14:paraId="47B43F6C" w14:textId="77777777" w:rsidR="007E08C8" w:rsidRPr="007E08C8" w:rsidRDefault="007E08C8" w:rsidP="007E08C8">
      <w:pPr>
        <w:rPr>
          <w:rFonts w:ascii="Arial" w:hAnsi="Arial" w:cs="Arial"/>
        </w:rPr>
      </w:pPr>
    </w:p>
    <w:p w14:paraId="68F1ECD2" w14:textId="77777777" w:rsidR="007E08C8" w:rsidRPr="007E08C8" w:rsidRDefault="007E08C8" w:rsidP="007E08C8">
      <w:pPr>
        <w:rPr>
          <w:rFonts w:ascii="Arial" w:hAnsi="Arial" w:cs="Arial"/>
        </w:rPr>
      </w:pPr>
      <w:r w:rsidRPr="007E08C8">
        <w:rPr>
          <w:rFonts w:ascii="Arial" w:hAnsi="Arial" w:cs="Arial"/>
        </w:rPr>
        <w:t>In the ACA’s atrium, staff and visitors are greeted by a six-story living “green” wall, bringing the outdoors inside. A Honey Oak finish was selected for the atrium stairwell’s metal ceilings to create a natural, wood-look appearance with minimal maintenance. The architects noted that materials were chosen for aesthetics and durability.</w:t>
      </w:r>
    </w:p>
    <w:p w14:paraId="24172548" w14:textId="77777777" w:rsidR="007E08C8" w:rsidRPr="007E08C8" w:rsidRDefault="007E08C8" w:rsidP="007E08C8">
      <w:pPr>
        <w:rPr>
          <w:rFonts w:ascii="Arial" w:hAnsi="Arial" w:cs="Arial"/>
        </w:rPr>
      </w:pPr>
    </w:p>
    <w:p w14:paraId="26FE11B3" w14:textId="77777777" w:rsidR="007E08C8" w:rsidRPr="007E08C8" w:rsidRDefault="007E08C8" w:rsidP="007E08C8">
      <w:pPr>
        <w:rPr>
          <w:rFonts w:ascii="Arial" w:hAnsi="Arial" w:cs="Arial"/>
        </w:rPr>
      </w:pPr>
      <w:r w:rsidRPr="007E08C8">
        <w:rPr>
          <w:rFonts w:ascii="Arial" w:hAnsi="Arial" w:cs="Arial"/>
        </w:rPr>
        <w:t>The green feature wall also acts as a bio-filter to improve indoor air quality (IAQ). Further supporting IAQ, the design team reviewed and selected interior products and materials with low emissions. All of Rockfon’s stone wool products are UL</w:t>
      </w:r>
      <w:r w:rsidRPr="007E08C8">
        <w:rPr>
          <w:rFonts w:ascii="Arial" w:hAnsi="Arial" w:cs="Arial"/>
          <w:vertAlign w:val="superscript"/>
        </w:rPr>
        <w:t>®</w:t>
      </w:r>
      <w:r w:rsidRPr="007E08C8">
        <w:rPr>
          <w:rFonts w:ascii="Arial" w:hAnsi="Arial" w:cs="Arial"/>
        </w:rPr>
        <w:t xml:space="preserve"> GREENGUARD Gold</w:t>
      </w:r>
      <w:r w:rsidRPr="007E08C8">
        <w:rPr>
          <w:rFonts w:ascii="Arial" w:hAnsi="Arial" w:cs="Arial"/>
          <w:vertAlign w:val="superscript"/>
        </w:rPr>
        <w:t xml:space="preserve">® </w:t>
      </w:r>
      <w:r w:rsidRPr="007E08C8">
        <w:rPr>
          <w:rFonts w:ascii="Arial" w:hAnsi="Arial" w:cs="Arial"/>
        </w:rPr>
        <w:t>Certified for low VOC emissions.</w:t>
      </w:r>
    </w:p>
    <w:p w14:paraId="7BF9D1FF" w14:textId="77777777" w:rsidR="007E08C8" w:rsidRPr="007E08C8" w:rsidRDefault="007E08C8" w:rsidP="007E08C8">
      <w:pPr>
        <w:rPr>
          <w:rFonts w:ascii="Arial" w:hAnsi="Arial" w:cs="Arial"/>
        </w:rPr>
      </w:pPr>
    </w:p>
    <w:p w14:paraId="39FA18E6" w14:textId="77777777" w:rsidR="007E08C8" w:rsidRPr="007E08C8" w:rsidRDefault="007E08C8" w:rsidP="007E08C8">
      <w:pPr>
        <w:ind w:right="278"/>
        <w:rPr>
          <w:rFonts w:ascii="Arial" w:hAnsi="Arial" w:cs="Arial"/>
        </w:rPr>
      </w:pPr>
      <w:r w:rsidRPr="007E08C8">
        <w:rPr>
          <w:rFonts w:ascii="Arial" w:hAnsi="Arial" w:cs="Arial"/>
        </w:rPr>
        <w:t>In addition to IAQ, LEED recognizes a comfortable acoustic experience contributes to a quality, healthy indoor environment. WZMH specified ceiling systems with exceptional sound absorption throughout the ACA. High acoustic performance contributes to clear communication, speech privacy and concentration, which are essential to effective public service.</w:t>
      </w:r>
    </w:p>
    <w:p w14:paraId="4A9A13BC" w14:textId="77777777" w:rsidR="007E08C8" w:rsidRPr="007E08C8" w:rsidRDefault="007E08C8" w:rsidP="007E08C8">
      <w:pPr>
        <w:rPr>
          <w:rFonts w:ascii="Arial" w:hAnsi="Arial" w:cs="Arial"/>
        </w:rPr>
      </w:pPr>
    </w:p>
    <w:p w14:paraId="13F3E785" w14:textId="346F31FC" w:rsidR="007E08C8" w:rsidRPr="007E08C8" w:rsidRDefault="007E08C8" w:rsidP="007E08C8">
      <w:pPr>
        <w:ind w:right="8"/>
        <w:rPr>
          <w:rFonts w:ascii="Arial" w:hAnsi="Arial" w:cs="Arial"/>
          <w:color w:val="000000"/>
        </w:rPr>
      </w:pPr>
      <w:r w:rsidRPr="007E08C8">
        <w:rPr>
          <w:rFonts w:ascii="Arial" w:hAnsi="Arial" w:cs="Arial"/>
        </w:rPr>
        <w:t>Installed in the courtrooms, collaboration and meeting rooms, office areas and corridors, Rockfon Sonar</w:t>
      </w:r>
      <w:r w:rsidRPr="007E08C8">
        <w:rPr>
          <w:rFonts w:ascii="Arial" w:hAnsi="Arial" w:cs="Arial"/>
          <w:vertAlign w:val="superscript"/>
        </w:rPr>
        <w:t>®</w:t>
      </w:r>
      <w:r w:rsidRPr="007E08C8">
        <w:rPr>
          <w:rFonts w:ascii="Arial" w:hAnsi="Arial" w:cs="Arial"/>
        </w:rPr>
        <w:t xml:space="preserve"> stone wool panels have a noise reduction coefficient of 0.95 NRC, among the highest available. The metal baffles were specially engineered and fabricated using Rockfon</w:t>
      </w:r>
      <w:r w:rsidRPr="007E08C8">
        <w:rPr>
          <w:rFonts w:ascii="Arial" w:hAnsi="Arial" w:cs="Arial"/>
          <w:vertAlign w:val="superscript"/>
        </w:rPr>
        <w:t>®</w:t>
      </w:r>
      <w:r w:rsidRPr="007E08C8">
        <w:rPr>
          <w:rFonts w:ascii="Arial" w:hAnsi="Arial" w:cs="Arial"/>
        </w:rPr>
        <w:t xml:space="preserve"> </w:t>
      </w:r>
      <w:proofErr w:type="spellStart"/>
      <w:r w:rsidRPr="007E08C8">
        <w:rPr>
          <w:rFonts w:ascii="Arial" w:hAnsi="Arial" w:cs="Arial"/>
        </w:rPr>
        <w:t>Beamgrid</w:t>
      </w:r>
      <w:proofErr w:type="spellEnd"/>
      <w:r w:rsidRPr="007E08C8">
        <w:rPr>
          <w:rFonts w:ascii="Arial" w:hAnsi="Arial" w:cs="Arial"/>
          <w:vertAlign w:val="superscript"/>
        </w:rPr>
        <w:t>®</w:t>
      </w:r>
      <w:r w:rsidRPr="007E08C8">
        <w:rPr>
          <w:rFonts w:ascii="Arial" w:hAnsi="Arial" w:cs="Arial"/>
        </w:rPr>
        <w:t xml:space="preserve"> ceiling systems for the ACA, and positioned strategically to reduce noise. Each baffle is perforated and </w:t>
      </w:r>
      <w:r w:rsidRPr="007E08C8">
        <w:rPr>
          <w:rFonts w:ascii="Arial" w:hAnsi="Arial" w:cs="Arial"/>
          <w:color w:val="000000"/>
        </w:rPr>
        <w:t>acoustically improved with an insulating backer.</w:t>
      </w:r>
    </w:p>
    <w:p w14:paraId="0F059317" w14:textId="77777777" w:rsidR="007E08C8" w:rsidRPr="007E08C8" w:rsidRDefault="007E08C8" w:rsidP="007E08C8">
      <w:pPr>
        <w:rPr>
          <w:rFonts w:ascii="Arial" w:hAnsi="Arial" w:cs="Arial"/>
          <w:color w:val="000000"/>
        </w:rPr>
      </w:pPr>
    </w:p>
    <w:p w14:paraId="63E88E8D" w14:textId="77777777" w:rsidR="007E08C8" w:rsidRPr="007E08C8" w:rsidRDefault="007E08C8" w:rsidP="007E08C8">
      <w:pPr>
        <w:ind w:right="-172"/>
        <w:rPr>
          <w:rFonts w:ascii="Arial" w:eastAsiaTheme="minorHAnsi" w:hAnsi="Arial" w:cs="Arial"/>
        </w:rPr>
      </w:pPr>
      <w:r w:rsidRPr="007E08C8">
        <w:rPr>
          <w:rFonts w:ascii="Arial" w:hAnsi="Arial" w:cs="Arial"/>
        </w:rPr>
        <w:t>These suspended linear ceiling elements also add visual definition within larger rooms. A white finish was selected for baffles above designated workstation areas to complement the calm, neutral color tones of the office area. In the cafeteria, the Honey Oak woodgrain finish enhances a warm, inviting, communal atmosphere, while helping moderate the noise levels.</w:t>
      </w:r>
    </w:p>
    <w:p w14:paraId="6BB1B613" w14:textId="63238063" w:rsidR="007E08C8" w:rsidRPr="007E08C8" w:rsidRDefault="007E08C8" w:rsidP="007E08C8">
      <w:pPr>
        <w:spacing w:before="180"/>
        <w:jc w:val="right"/>
        <w:rPr>
          <w:rFonts w:ascii="Arial" w:hAnsi="Arial" w:cs="Arial"/>
          <w:i/>
          <w:iCs/>
          <w:sz w:val="20"/>
          <w:szCs w:val="20"/>
        </w:rPr>
      </w:pPr>
      <w:r w:rsidRPr="007E08C8">
        <w:rPr>
          <w:rFonts w:ascii="Arial" w:hAnsi="Arial" w:cs="Arial"/>
          <w:i/>
          <w:iCs/>
          <w:sz w:val="20"/>
          <w:szCs w:val="20"/>
        </w:rPr>
        <w:t>(more)</w:t>
      </w:r>
      <w:r w:rsidRPr="007E08C8">
        <w:rPr>
          <w:rFonts w:ascii="Arial" w:hAnsi="Arial" w:cs="Arial"/>
          <w:i/>
          <w:iCs/>
          <w:sz w:val="20"/>
          <w:szCs w:val="20"/>
        </w:rPr>
        <w:br w:type="page"/>
      </w:r>
    </w:p>
    <w:p w14:paraId="1BA2E49A" w14:textId="77777777" w:rsidR="007E08C8" w:rsidRPr="007E08C8" w:rsidRDefault="007E08C8" w:rsidP="007E08C8">
      <w:pPr>
        <w:rPr>
          <w:rFonts w:ascii="Arial" w:hAnsi="Arial" w:cs="Arial"/>
        </w:rPr>
      </w:pPr>
      <w:r w:rsidRPr="007E08C8">
        <w:rPr>
          <w:rFonts w:ascii="Arial" w:hAnsi="Arial" w:cs="Arial"/>
        </w:rPr>
        <w:lastRenderedPageBreak/>
        <w:t>The ACA building’s H-shape, open workspace plan, narrow floorplates and glass-clad exterior maximize access to daylighting and views of the river floodplain. Interior glazing allows for views of the atrium’s green wall. Rockfon’s stone wool ceiling panels help extend the natural light more deeply to the office core. The panels’ lightly textured, white surface reflects up to 85 percent of light, whether from the sun or the energy-efficient electric fixtures. At the desktop, this diffused illumination minimizes glare and eye strain, enhancing both health and productivity.</w:t>
      </w:r>
    </w:p>
    <w:p w14:paraId="5328986C" w14:textId="77777777" w:rsidR="007E08C8" w:rsidRPr="007E08C8" w:rsidRDefault="007E08C8" w:rsidP="007E08C8">
      <w:pPr>
        <w:rPr>
          <w:rFonts w:ascii="Arial" w:hAnsi="Arial" w:cs="Arial"/>
        </w:rPr>
      </w:pPr>
    </w:p>
    <w:p w14:paraId="576C5514" w14:textId="77777777" w:rsidR="007E08C8" w:rsidRPr="007E08C8" w:rsidRDefault="007E08C8" w:rsidP="007E08C8">
      <w:pPr>
        <w:rPr>
          <w:rFonts w:ascii="Arial" w:hAnsi="Arial" w:cs="Arial"/>
        </w:rPr>
      </w:pPr>
      <w:r w:rsidRPr="007E08C8">
        <w:rPr>
          <w:rFonts w:ascii="Arial" w:hAnsi="Arial" w:cs="Arial"/>
        </w:rPr>
        <w:t>Along with design considerations for people’s well-being during the building’s lifecycle, additional consideration was given to the recycled composition and post-use recyclability of products and materials. More than 20 percent of construction materials on the ACA were manufactured with recycled content, including Rockfon’s ceiling products. After their long lifespan on the building, the metal baffles, perimeter trim and suspension systems also can be locally recycled.</w:t>
      </w:r>
    </w:p>
    <w:p w14:paraId="7208C50B" w14:textId="77777777" w:rsidR="007E08C8" w:rsidRPr="007E08C8" w:rsidRDefault="007E08C8" w:rsidP="007E08C8">
      <w:pPr>
        <w:rPr>
          <w:rFonts w:ascii="Arial" w:hAnsi="Arial" w:cs="Arial"/>
        </w:rPr>
      </w:pPr>
    </w:p>
    <w:p w14:paraId="557C1C99" w14:textId="77777777" w:rsidR="007E08C8" w:rsidRPr="007E08C8" w:rsidRDefault="007E08C8" w:rsidP="007E08C8">
      <w:pPr>
        <w:rPr>
          <w:rFonts w:ascii="Arial" w:hAnsi="Arial" w:cs="Arial"/>
        </w:rPr>
      </w:pPr>
      <w:r w:rsidRPr="007E08C8">
        <w:rPr>
          <w:rFonts w:ascii="Arial" w:hAnsi="Arial" w:cs="Arial"/>
        </w:rPr>
        <w:t xml:space="preserve">In total, </w:t>
      </w:r>
      <w:proofErr w:type="spellStart"/>
      <w:r w:rsidRPr="007E08C8">
        <w:rPr>
          <w:rFonts w:ascii="Arial" w:hAnsi="Arial" w:cs="Arial"/>
        </w:rPr>
        <w:t>Patene</w:t>
      </w:r>
      <w:proofErr w:type="spellEnd"/>
      <w:r w:rsidRPr="007E08C8">
        <w:rPr>
          <w:rFonts w:ascii="Arial" w:hAnsi="Arial" w:cs="Arial"/>
        </w:rPr>
        <w:t xml:space="preserve"> Building Supplies provided 258,000 square feet of Rockfon ceiling products, which </w:t>
      </w:r>
      <w:proofErr w:type="spellStart"/>
      <w:r w:rsidRPr="007E08C8">
        <w:rPr>
          <w:rFonts w:ascii="Arial" w:hAnsi="Arial" w:cs="Arial"/>
        </w:rPr>
        <w:t>Nelmar</w:t>
      </w:r>
      <w:proofErr w:type="spellEnd"/>
      <w:r w:rsidRPr="007E08C8">
        <w:rPr>
          <w:rFonts w:ascii="Arial" w:hAnsi="Arial" w:cs="Arial"/>
        </w:rPr>
        <w:t xml:space="preserve"> Drywall Company installed throughout the ACA. As the general contractor, EllisDon kept the multi-phased project on schedule for its 2020 completion. </w:t>
      </w:r>
      <w:r w:rsidRPr="007E08C8">
        <w:rPr>
          <w:rFonts w:ascii="Arial" w:hAnsi="Arial" w:cs="Arial"/>
          <w:color w:val="000000"/>
        </w:rPr>
        <w:t>Morrison Hershfield served as the project’s LEED consultant, culminating in the project’s January 2022 LEED Gold certification.</w:t>
      </w:r>
    </w:p>
    <w:p w14:paraId="1561FF1D" w14:textId="77777777" w:rsidR="007E08C8" w:rsidRPr="007E08C8" w:rsidRDefault="007E08C8" w:rsidP="007E08C8">
      <w:pPr>
        <w:rPr>
          <w:rFonts w:ascii="Arial" w:hAnsi="Arial" w:cs="Arial"/>
        </w:rPr>
      </w:pPr>
    </w:p>
    <w:p w14:paraId="6B84B3BB" w14:textId="77777777" w:rsidR="007E08C8" w:rsidRPr="007E08C8" w:rsidRDefault="007E08C8" w:rsidP="007E08C8">
      <w:pPr>
        <w:rPr>
          <w:rFonts w:ascii="Arial" w:hAnsi="Arial" w:cs="Arial"/>
        </w:rPr>
      </w:pPr>
      <w:r w:rsidRPr="007E08C8">
        <w:rPr>
          <w:rFonts w:ascii="Arial" w:hAnsi="Arial" w:cs="Arial"/>
        </w:rPr>
        <w:t>Other LEED design and construction features include a vegetated and heat-reflective roof, rainwater-harvesting cooling towers, low-flow plumbing fixtures, high-performance glazing, regenerative electric elevators, environmentally responsible landscaping and availability to public transit. The ACA also is fully accessible to serve all the region’s residents.</w:t>
      </w:r>
    </w:p>
    <w:p w14:paraId="5CEFEF9D" w14:textId="77777777" w:rsidR="007E08C8" w:rsidRPr="007E08C8" w:rsidRDefault="007E08C8" w:rsidP="007E08C8">
      <w:pPr>
        <w:rPr>
          <w:rFonts w:ascii="Arial" w:hAnsi="Arial" w:cs="Arial"/>
        </w:rPr>
      </w:pPr>
    </w:p>
    <w:p w14:paraId="7BC83C6A" w14:textId="77777777" w:rsidR="007E08C8" w:rsidRPr="007E08C8" w:rsidRDefault="007E08C8" w:rsidP="007E08C8">
      <w:pPr>
        <w:rPr>
          <w:rFonts w:ascii="Arial" w:hAnsi="Arial" w:cs="Arial"/>
        </w:rPr>
      </w:pPr>
      <w:r w:rsidRPr="007E08C8">
        <w:rPr>
          <w:rFonts w:ascii="Arial" w:hAnsi="Arial" w:cs="Arial"/>
        </w:rPr>
        <w:t>Constructed adjacent to the existing York Region Municipal headquarters building, an enclosed pedestrian bridge connects the two structures. Prior to the ACA’s construction, public services were spread across multiple locations in various needs of renovation. Consolidating to a new, single campus realized a plan that not only offered long-term cost savings, but also improved efficiencies, collaboration and convenience.</w:t>
      </w:r>
    </w:p>
    <w:p w14:paraId="4BC29B4E" w14:textId="77777777" w:rsidR="007E08C8" w:rsidRPr="007E08C8" w:rsidRDefault="007E08C8" w:rsidP="007E08C8">
      <w:pPr>
        <w:rPr>
          <w:rFonts w:ascii="Arial" w:hAnsi="Arial" w:cs="Arial"/>
        </w:rPr>
      </w:pPr>
    </w:p>
    <w:p w14:paraId="03CCCF4A" w14:textId="77777777" w:rsidR="007E08C8" w:rsidRPr="007E08C8" w:rsidRDefault="007E08C8" w:rsidP="007E08C8">
      <w:pPr>
        <w:autoSpaceDE w:val="0"/>
        <w:autoSpaceDN w:val="0"/>
        <w:adjustRightInd w:val="0"/>
        <w:rPr>
          <w:rFonts w:ascii="Arial" w:hAnsi="Arial" w:cs="Arial"/>
          <w:color w:val="25232B"/>
        </w:rPr>
      </w:pPr>
      <w:r w:rsidRPr="007E08C8">
        <w:rPr>
          <w:rFonts w:ascii="Arial" w:hAnsi="Arial" w:cs="Arial"/>
        </w:rPr>
        <w:t xml:space="preserve">The ACA now offers </w:t>
      </w:r>
      <w:r w:rsidRPr="007E08C8">
        <w:rPr>
          <w:rFonts w:ascii="Arial" w:hAnsi="Arial" w:cs="Arial"/>
          <w:color w:val="25232B"/>
        </w:rPr>
        <w:t>Provincial Offences Courtrooms, Public Health Clinics, Social Services, Children’s Services, Ontario Works, Housing Services, York Small Business Enterprise Centre and Access York contact center all under one roof.</w:t>
      </w:r>
    </w:p>
    <w:p w14:paraId="6338F617" w14:textId="77777777" w:rsidR="007E08C8" w:rsidRPr="007E08C8" w:rsidRDefault="007E08C8" w:rsidP="007E08C8">
      <w:pPr>
        <w:rPr>
          <w:rFonts w:ascii="Arial" w:hAnsi="Arial" w:cs="Arial"/>
        </w:rPr>
      </w:pPr>
    </w:p>
    <w:p w14:paraId="1B45B0A4" w14:textId="77777777" w:rsidR="007E08C8" w:rsidRPr="007E08C8" w:rsidRDefault="007E08C8" w:rsidP="007E08C8">
      <w:pPr>
        <w:rPr>
          <w:rFonts w:ascii="Arial" w:hAnsi="Arial" w:cs="Arial"/>
        </w:rPr>
      </w:pPr>
      <w:r w:rsidRPr="007E08C8">
        <w:rPr>
          <w:rFonts w:ascii="Arial" w:hAnsi="Arial" w:cs="Arial"/>
        </w:rPr>
        <w:t>“We are so pleased to have a green building that reflects York Region’s commitment to protecting and sustaining the environment, while providing important regional services to our residents,” said Dino Basso, commissioner of corporate services for The Regional Municipality of York.</w:t>
      </w:r>
    </w:p>
    <w:p w14:paraId="5B9646B6" w14:textId="77777777" w:rsidR="007E08C8" w:rsidRPr="007E08C8" w:rsidRDefault="007E08C8" w:rsidP="007E08C8">
      <w:pPr>
        <w:rPr>
          <w:rFonts w:ascii="Arial" w:hAnsi="Arial" w:cs="Arial"/>
        </w:rPr>
      </w:pPr>
    </w:p>
    <w:p w14:paraId="2F23AABB" w14:textId="77777777" w:rsidR="007E08C8" w:rsidRPr="007E08C8" w:rsidRDefault="007E08C8" w:rsidP="007E08C8">
      <w:pPr>
        <w:rPr>
          <w:rFonts w:ascii="Arial" w:hAnsi="Arial" w:cs="Arial"/>
          <w:color w:val="000000"/>
        </w:rPr>
      </w:pPr>
      <w:r w:rsidRPr="007E08C8">
        <w:rPr>
          <w:rFonts w:ascii="Arial" w:hAnsi="Arial" w:cs="Arial"/>
          <w:color w:val="000000"/>
        </w:rPr>
        <w:t xml:space="preserve">Beyond York Region leaders’ and the community’s compliments, the ACA’s innovative and inclusive design earned a 2021 Architecture </w:t>
      </w:r>
      <w:proofErr w:type="spellStart"/>
      <w:r w:rsidRPr="007E08C8">
        <w:rPr>
          <w:rFonts w:ascii="Arial" w:hAnsi="Arial" w:cs="Arial"/>
          <w:color w:val="000000"/>
        </w:rPr>
        <w:t>MasterPrize</w:t>
      </w:r>
      <w:proofErr w:type="spellEnd"/>
      <w:r w:rsidRPr="007E08C8">
        <w:rPr>
          <w:rFonts w:ascii="Arial" w:hAnsi="Arial" w:cs="Arial"/>
          <w:color w:val="000000"/>
        </w:rPr>
        <w:t xml:space="preserve">, Design of the Year </w:t>
      </w:r>
      <w:proofErr w:type="spellStart"/>
      <w:r w:rsidRPr="007E08C8">
        <w:rPr>
          <w:rFonts w:ascii="Arial" w:hAnsi="Arial" w:cs="Arial"/>
          <w:color w:val="000000"/>
        </w:rPr>
        <w:t>Honourable</w:t>
      </w:r>
      <w:proofErr w:type="spellEnd"/>
      <w:r w:rsidRPr="007E08C8">
        <w:rPr>
          <w:rFonts w:ascii="Arial" w:hAnsi="Arial" w:cs="Arial"/>
          <w:color w:val="000000"/>
        </w:rPr>
        <w:t xml:space="preserve"> Mention in the Institutional Architecture Category and a 2021 Global Future Design Award in the Institutional Architecture Category.</w:t>
      </w:r>
    </w:p>
    <w:p w14:paraId="2B24A45A" w14:textId="06599005" w:rsidR="00702603" w:rsidRDefault="00702603" w:rsidP="007E08C8">
      <w:pPr>
        <w:ind w:right="188"/>
        <w:contextualSpacing/>
        <w:rPr>
          <w:rFonts w:cs="Arial"/>
          <w:b/>
          <w:bCs/>
          <w:color w:val="000000" w:themeColor="text1"/>
          <w:sz w:val="20"/>
          <w:szCs w:val="20"/>
        </w:rPr>
      </w:pPr>
    </w:p>
    <w:p w14:paraId="53590076" w14:textId="77777777" w:rsidR="007E08C8" w:rsidRDefault="007E08C8">
      <w:pPr>
        <w:spacing w:before="180"/>
        <w:rPr>
          <w:rFonts w:ascii="Arial" w:hAnsi="Arial" w:cs="Arial"/>
          <w:b/>
          <w:bCs/>
          <w:color w:val="000000" w:themeColor="text1"/>
          <w:sz w:val="20"/>
          <w:szCs w:val="20"/>
        </w:rPr>
      </w:pPr>
      <w:r>
        <w:rPr>
          <w:rFonts w:ascii="Arial" w:hAnsi="Arial" w:cs="Arial"/>
          <w:b/>
          <w:bCs/>
          <w:color w:val="000000" w:themeColor="text1"/>
          <w:sz w:val="20"/>
          <w:szCs w:val="20"/>
        </w:rPr>
        <w:br w:type="page"/>
      </w:r>
    </w:p>
    <w:p w14:paraId="606E4F9F" w14:textId="184C58CF" w:rsidR="007E08C8" w:rsidRPr="007E08C8" w:rsidRDefault="007E08C8" w:rsidP="007E08C8">
      <w:pPr>
        <w:rPr>
          <w:rFonts w:ascii="Arial" w:hAnsi="Arial" w:cs="Arial"/>
          <w:b/>
          <w:bCs/>
          <w:color w:val="000000"/>
          <w:sz w:val="20"/>
          <w:szCs w:val="20"/>
        </w:rPr>
      </w:pPr>
      <w:r w:rsidRPr="007E08C8">
        <w:rPr>
          <w:rFonts w:ascii="Arial" w:hAnsi="Arial" w:cs="Arial"/>
          <w:b/>
          <w:bCs/>
          <w:color w:val="000000"/>
          <w:sz w:val="20"/>
          <w:szCs w:val="20"/>
        </w:rPr>
        <w:lastRenderedPageBreak/>
        <w:t>York Region Administrative Centre Annex (ACA)</w:t>
      </w:r>
      <w:r w:rsidRPr="007E08C8">
        <w:rPr>
          <w:rFonts w:ascii="Arial" w:hAnsi="Arial" w:cs="Arial"/>
          <w:b/>
          <w:bCs/>
          <w:color w:val="000000"/>
          <w:sz w:val="20"/>
          <w:szCs w:val="20"/>
        </w:rPr>
        <w:t xml:space="preserve">, </w:t>
      </w:r>
      <w:r w:rsidRPr="007E08C8">
        <w:rPr>
          <w:rFonts w:ascii="Arial" w:hAnsi="Arial" w:cs="Arial"/>
          <w:b/>
          <w:bCs/>
          <w:color w:val="000000"/>
          <w:sz w:val="20"/>
          <w:szCs w:val="20"/>
        </w:rPr>
        <w:t xml:space="preserve">17150 Yonge St., </w:t>
      </w:r>
      <w:r w:rsidRPr="007E08C8">
        <w:rPr>
          <w:rFonts w:ascii="Arial" w:hAnsi="Arial" w:cs="Arial"/>
          <w:b/>
          <w:bCs/>
          <w:sz w:val="20"/>
          <w:szCs w:val="20"/>
        </w:rPr>
        <w:t>Newmarket, ON L3Y 6Z1</w:t>
      </w:r>
    </w:p>
    <w:p w14:paraId="04106338" w14:textId="10B521D1" w:rsidR="007E08C8" w:rsidRPr="007E08C8" w:rsidRDefault="007E08C8" w:rsidP="007E08C8">
      <w:pPr>
        <w:pStyle w:val="ListParagraph"/>
        <w:numPr>
          <w:ilvl w:val="0"/>
          <w:numId w:val="5"/>
        </w:numPr>
        <w:spacing w:before="0"/>
        <w:rPr>
          <w:rFonts w:ascii="Arial" w:eastAsia="Times New Roman" w:hAnsi="Arial" w:cs="Arial"/>
          <w:sz w:val="20"/>
          <w:szCs w:val="20"/>
        </w:rPr>
      </w:pPr>
      <w:r w:rsidRPr="007E08C8">
        <w:rPr>
          <w:rFonts w:ascii="Arial" w:eastAsia="Times New Roman" w:hAnsi="Arial" w:cs="Arial"/>
          <w:color w:val="000000"/>
          <w:sz w:val="20"/>
          <w:szCs w:val="20"/>
        </w:rPr>
        <w:t>Owner: The Regional Municipality of York; Newmarket, Ontario</w:t>
      </w:r>
      <w:r w:rsidRPr="007E08C8">
        <w:rPr>
          <w:rFonts w:ascii="Arial" w:eastAsia="Times New Roman" w:hAnsi="Arial" w:cs="Arial"/>
          <w:color w:val="000000"/>
          <w:sz w:val="20"/>
          <w:szCs w:val="20"/>
        </w:rPr>
        <w:t xml:space="preserve">; </w:t>
      </w:r>
      <w:r w:rsidRPr="007E08C8">
        <w:rPr>
          <w:rFonts w:ascii="Arial" w:eastAsia="Times New Roman" w:hAnsi="Arial" w:cs="Arial"/>
          <w:color w:val="000000"/>
          <w:sz w:val="20"/>
          <w:szCs w:val="20"/>
        </w:rPr>
        <w:t>https://www.york.ca</w:t>
      </w:r>
    </w:p>
    <w:p w14:paraId="03BB1EB6" w14:textId="2B0D48AA" w:rsidR="007E08C8" w:rsidRPr="007E08C8" w:rsidRDefault="007E08C8" w:rsidP="007E08C8">
      <w:pPr>
        <w:pStyle w:val="ListParagraph"/>
        <w:numPr>
          <w:ilvl w:val="0"/>
          <w:numId w:val="5"/>
        </w:numPr>
        <w:spacing w:before="0"/>
        <w:rPr>
          <w:rFonts w:ascii="Arial" w:eastAsia="Times New Roman" w:hAnsi="Arial" w:cs="Arial"/>
          <w:sz w:val="20"/>
          <w:szCs w:val="20"/>
        </w:rPr>
      </w:pPr>
      <w:r w:rsidRPr="007E08C8">
        <w:rPr>
          <w:rFonts w:ascii="Arial" w:eastAsia="Times New Roman" w:hAnsi="Arial" w:cs="Arial"/>
          <w:color w:val="000000"/>
          <w:sz w:val="20"/>
          <w:szCs w:val="20"/>
        </w:rPr>
        <w:t>Architect: WZMH Architects; Toronto</w:t>
      </w:r>
      <w:r w:rsidRPr="007E08C8">
        <w:rPr>
          <w:rFonts w:ascii="Arial" w:eastAsia="Times New Roman" w:hAnsi="Arial" w:cs="Arial"/>
          <w:color w:val="000000"/>
          <w:sz w:val="20"/>
          <w:szCs w:val="20"/>
        </w:rPr>
        <w:t xml:space="preserve">; </w:t>
      </w:r>
      <w:r w:rsidRPr="007E08C8">
        <w:rPr>
          <w:rFonts w:ascii="Arial" w:eastAsia="Times New Roman" w:hAnsi="Arial" w:cs="Arial"/>
          <w:color w:val="000000"/>
          <w:sz w:val="20"/>
          <w:szCs w:val="20"/>
        </w:rPr>
        <w:t>https://www.wzmh.com</w:t>
      </w:r>
    </w:p>
    <w:p w14:paraId="3C95DB8A" w14:textId="0D037CA6" w:rsidR="007E08C8" w:rsidRPr="007E08C8" w:rsidRDefault="007E08C8" w:rsidP="007E08C8">
      <w:pPr>
        <w:pStyle w:val="ListParagraph"/>
        <w:numPr>
          <w:ilvl w:val="0"/>
          <w:numId w:val="5"/>
        </w:numPr>
        <w:spacing w:before="0"/>
        <w:rPr>
          <w:rFonts w:ascii="Arial" w:eastAsia="Times New Roman" w:hAnsi="Arial" w:cs="Arial"/>
          <w:sz w:val="20"/>
          <w:szCs w:val="20"/>
        </w:rPr>
      </w:pPr>
      <w:r w:rsidRPr="007E08C8">
        <w:rPr>
          <w:rFonts w:ascii="Arial" w:eastAsia="Times New Roman" w:hAnsi="Arial" w:cs="Arial"/>
          <w:color w:val="000000"/>
          <w:sz w:val="20"/>
          <w:szCs w:val="20"/>
        </w:rPr>
        <w:t>Interior designer: Figure3; Toronto</w:t>
      </w:r>
      <w:r w:rsidRPr="007E08C8">
        <w:rPr>
          <w:rFonts w:ascii="Arial" w:eastAsia="Times New Roman" w:hAnsi="Arial" w:cs="Arial"/>
          <w:color w:val="000000"/>
          <w:sz w:val="20"/>
          <w:szCs w:val="20"/>
        </w:rPr>
        <w:t xml:space="preserve">; </w:t>
      </w:r>
      <w:r w:rsidRPr="007E08C8">
        <w:rPr>
          <w:rFonts w:ascii="Arial" w:eastAsia="Times New Roman" w:hAnsi="Arial" w:cs="Arial"/>
          <w:color w:val="000000"/>
          <w:sz w:val="20"/>
          <w:szCs w:val="20"/>
        </w:rPr>
        <w:t>https://www.figure3.com</w:t>
      </w:r>
    </w:p>
    <w:p w14:paraId="5C1406E4" w14:textId="22B86B8F" w:rsidR="007E08C8" w:rsidRPr="007E08C8" w:rsidRDefault="007E08C8" w:rsidP="007E08C8">
      <w:pPr>
        <w:pStyle w:val="ListParagraph"/>
        <w:numPr>
          <w:ilvl w:val="0"/>
          <w:numId w:val="5"/>
        </w:numPr>
        <w:spacing w:before="0"/>
        <w:rPr>
          <w:rFonts w:ascii="Arial" w:eastAsia="Times New Roman" w:hAnsi="Arial" w:cs="Arial"/>
          <w:color w:val="000000"/>
          <w:sz w:val="20"/>
          <w:szCs w:val="20"/>
        </w:rPr>
      </w:pPr>
      <w:r w:rsidRPr="007E08C8">
        <w:rPr>
          <w:rFonts w:ascii="Arial" w:eastAsia="Times New Roman" w:hAnsi="Arial" w:cs="Arial"/>
          <w:color w:val="000000"/>
          <w:sz w:val="20"/>
          <w:szCs w:val="20"/>
        </w:rPr>
        <w:t>LEED</w:t>
      </w:r>
      <w:r w:rsidRPr="007E08C8">
        <w:rPr>
          <w:rFonts w:ascii="Arial" w:eastAsia="Times New Roman" w:hAnsi="Arial" w:cs="Arial"/>
          <w:color w:val="000000"/>
          <w:sz w:val="20"/>
          <w:szCs w:val="20"/>
          <w:vertAlign w:val="superscript"/>
        </w:rPr>
        <w:t>®</w:t>
      </w:r>
      <w:r w:rsidRPr="007E08C8">
        <w:rPr>
          <w:rFonts w:ascii="Arial" w:eastAsia="Times New Roman" w:hAnsi="Arial" w:cs="Arial"/>
          <w:color w:val="000000"/>
          <w:sz w:val="20"/>
          <w:szCs w:val="20"/>
        </w:rPr>
        <w:t xml:space="preserve"> consultant: Morrison Hershfield; Stillwater, Minnesota</w:t>
      </w:r>
      <w:r w:rsidRPr="007E08C8">
        <w:rPr>
          <w:rFonts w:ascii="Arial" w:eastAsia="Times New Roman" w:hAnsi="Arial" w:cs="Arial"/>
          <w:color w:val="000000"/>
          <w:sz w:val="20"/>
          <w:szCs w:val="20"/>
        </w:rPr>
        <w:t xml:space="preserve">; </w:t>
      </w:r>
      <w:r w:rsidRPr="007E08C8">
        <w:rPr>
          <w:rFonts w:ascii="Arial" w:eastAsia="Times New Roman" w:hAnsi="Arial" w:cs="Arial"/>
          <w:color w:val="000000"/>
          <w:sz w:val="20"/>
          <w:szCs w:val="20"/>
        </w:rPr>
        <w:t>https://morrisonhershfield.com</w:t>
      </w:r>
    </w:p>
    <w:p w14:paraId="07592FE6" w14:textId="304941F8" w:rsidR="007E08C8" w:rsidRPr="007E08C8" w:rsidRDefault="007E08C8" w:rsidP="007E08C8">
      <w:pPr>
        <w:pStyle w:val="ListParagraph"/>
        <w:numPr>
          <w:ilvl w:val="0"/>
          <w:numId w:val="5"/>
        </w:numPr>
        <w:spacing w:before="0"/>
        <w:rPr>
          <w:rFonts w:ascii="Arial" w:eastAsia="Times New Roman" w:hAnsi="Arial" w:cs="Arial"/>
          <w:color w:val="000000"/>
          <w:sz w:val="20"/>
          <w:szCs w:val="20"/>
        </w:rPr>
      </w:pPr>
      <w:r w:rsidRPr="007E08C8">
        <w:rPr>
          <w:rFonts w:ascii="Arial" w:eastAsia="Times New Roman" w:hAnsi="Arial" w:cs="Arial"/>
          <w:color w:val="000000"/>
          <w:sz w:val="20"/>
          <w:szCs w:val="20"/>
        </w:rPr>
        <w:t>General contractor: EllisDon Corporation; Toronto</w:t>
      </w:r>
      <w:r w:rsidRPr="007E08C8">
        <w:rPr>
          <w:rFonts w:ascii="Arial" w:eastAsia="Times New Roman" w:hAnsi="Arial" w:cs="Arial"/>
          <w:color w:val="000000"/>
          <w:sz w:val="20"/>
          <w:szCs w:val="20"/>
        </w:rPr>
        <w:t xml:space="preserve">; </w:t>
      </w:r>
      <w:r w:rsidRPr="007E08C8">
        <w:rPr>
          <w:rFonts w:ascii="Arial" w:eastAsia="Times New Roman" w:hAnsi="Arial" w:cs="Arial"/>
          <w:color w:val="000000"/>
          <w:sz w:val="20"/>
          <w:szCs w:val="20"/>
        </w:rPr>
        <w:t>https://www.ellisdon.com</w:t>
      </w:r>
    </w:p>
    <w:p w14:paraId="038F4095" w14:textId="758D8346" w:rsidR="007E08C8" w:rsidRPr="007E08C8" w:rsidRDefault="007E08C8" w:rsidP="007E08C8">
      <w:pPr>
        <w:pStyle w:val="ListParagraph"/>
        <w:numPr>
          <w:ilvl w:val="0"/>
          <w:numId w:val="5"/>
        </w:numPr>
        <w:spacing w:before="0"/>
        <w:rPr>
          <w:rFonts w:ascii="Arial" w:eastAsia="Times New Roman" w:hAnsi="Arial" w:cs="Arial"/>
          <w:color w:val="000000"/>
          <w:sz w:val="20"/>
          <w:szCs w:val="20"/>
        </w:rPr>
      </w:pPr>
      <w:r w:rsidRPr="007E08C8">
        <w:rPr>
          <w:rFonts w:ascii="Arial" w:hAnsi="Arial" w:cs="Arial"/>
          <w:sz w:val="20"/>
          <w:szCs w:val="20"/>
        </w:rPr>
        <w:t xml:space="preserve">Ceiling systems – installing contractor: </w:t>
      </w:r>
      <w:proofErr w:type="spellStart"/>
      <w:r w:rsidRPr="007E08C8">
        <w:rPr>
          <w:rFonts w:ascii="Arial" w:eastAsia="Times New Roman" w:hAnsi="Arial" w:cs="Arial"/>
          <w:color w:val="000000"/>
          <w:sz w:val="20"/>
          <w:szCs w:val="20"/>
        </w:rPr>
        <w:t>Nelmar</w:t>
      </w:r>
      <w:proofErr w:type="spellEnd"/>
      <w:r w:rsidRPr="007E08C8">
        <w:rPr>
          <w:rFonts w:ascii="Arial" w:eastAsia="Times New Roman" w:hAnsi="Arial" w:cs="Arial"/>
          <w:color w:val="000000"/>
          <w:sz w:val="20"/>
          <w:szCs w:val="20"/>
        </w:rPr>
        <w:t xml:space="preserve"> Drywall Company Ltd; Vaughan, Ontario</w:t>
      </w:r>
      <w:r w:rsidRPr="007E08C8">
        <w:rPr>
          <w:rFonts w:ascii="Arial" w:eastAsia="Times New Roman" w:hAnsi="Arial" w:cs="Arial"/>
          <w:color w:val="000000"/>
          <w:sz w:val="20"/>
          <w:szCs w:val="20"/>
        </w:rPr>
        <w:t xml:space="preserve">; </w:t>
      </w:r>
      <w:r w:rsidRPr="007E08C8">
        <w:rPr>
          <w:rFonts w:ascii="Arial" w:eastAsia="Times New Roman" w:hAnsi="Arial" w:cs="Arial"/>
          <w:color w:val="000000"/>
          <w:sz w:val="20"/>
          <w:szCs w:val="20"/>
        </w:rPr>
        <w:t>http://www.nelmardrywall.com</w:t>
      </w:r>
    </w:p>
    <w:p w14:paraId="29AD462F" w14:textId="59F607A2" w:rsidR="007E08C8" w:rsidRPr="007E08C8" w:rsidRDefault="007E08C8" w:rsidP="007E08C8">
      <w:pPr>
        <w:pStyle w:val="ListParagraph"/>
        <w:numPr>
          <w:ilvl w:val="0"/>
          <w:numId w:val="5"/>
        </w:numPr>
        <w:spacing w:before="0"/>
        <w:rPr>
          <w:rFonts w:ascii="Arial" w:eastAsia="Times New Roman" w:hAnsi="Arial" w:cs="Arial"/>
          <w:sz w:val="20"/>
          <w:szCs w:val="20"/>
        </w:rPr>
      </w:pPr>
      <w:r w:rsidRPr="007E08C8">
        <w:rPr>
          <w:rFonts w:ascii="Arial" w:hAnsi="Arial" w:cs="Arial"/>
          <w:sz w:val="20"/>
          <w:szCs w:val="20"/>
        </w:rPr>
        <w:t xml:space="preserve">Ceiling systems – distributor: </w:t>
      </w:r>
      <w:proofErr w:type="spellStart"/>
      <w:r w:rsidRPr="007E08C8">
        <w:rPr>
          <w:rFonts w:ascii="Arial" w:hAnsi="Arial" w:cs="Arial"/>
          <w:color w:val="000000"/>
          <w:sz w:val="20"/>
          <w:szCs w:val="20"/>
        </w:rPr>
        <w:t>P</w:t>
      </w:r>
      <w:r w:rsidRPr="007E08C8">
        <w:rPr>
          <w:rFonts w:ascii="Arial" w:eastAsia="Times New Roman" w:hAnsi="Arial" w:cs="Arial"/>
          <w:color w:val="000000"/>
          <w:sz w:val="20"/>
          <w:szCs w:val="20"/>
        </w:rPr>
        <w:t>atene</w:t>
      </w:r>
      <w:proofErr w:type="spellEnd"/>
      <w:r w:rsidRPr="007E08C8">
        <w:rPr>
          <w:rFonts w:ascii="Arial" w:eastAsia="Times New Roman" w:hAnsi="Arial" w:cs="Arial"/>
          <w:color w:val="000000"/>
          <w:sz w:val="20"/>
          <w:szCs w:val="20"/>
        </w:rPr>
        <w:t xml:space="preserve"> Building Supplies Ltd., Milton, Ontario</w:t>
      </w:r>
      <w:r w:rsidRPr="007E08C8">
        <w:rPr>
          <w:rFonts w:ascii="Arial" w:eastAsia="Times New Roman" w:hAnsi="Arial" w:cs="Arial"/>
          <w:color w:val="000000"/>
          <w:sz w:val="20"/>
          <w:szCs w:val="20"/>
        </w:rPr>
        <w:t xml:space="preserve">; </w:t>
      </w:r>
      <w:r w:rsidRPr="007E08C8">
        <w:rPr>
          <w:rFonts w:ascii="Arial" w:eastAsia="Times New Roman" w:hAnsi="Arial" w:cs="Arial"/>
          <w:color w:val="000000"/>
          <w:sz w:val="20"/>
          <w:szCs w:val="20"/>
        </w:rPr>
        <w:t>https://www.patene.com</w:t>
      </w:r>
    </w:p>
    <w:p w14:paraId="44F8FD16" w14:textId="77777777" w:rsidR="00894F5E" w:rsidRPr="007E08C8" w:rsidRDefault="00894F5E" w:rsidP="00894F5E">
      <w:pPr>
        <w:pStyle w:val="ListParagraph"/>
        <w:numPr>
          <w:ilvl w:val="0"/>
          <w:numId w:val="5"/>
        </w:numPr>
        <w:spacing w:before="0"/>
        <w:rPr>
          <w:rFonts w:ascii="Arial" w:hAnsi="Arial" w:cs="Arial"/>
          <w:sz w:val="20"/>
          <w:szCs w:val="20"/>
          <w:lang w:val="en-US"/>
        </w:rPr>
      </w:pPr>
      <w:r w:rsidRPr="007E08C8">
        <w:rPr>
          <w:rFonts w:ascii="Arial" w:hAnsi="Arial" w:cs="Arial"/>
          <w:sz w:val="20"/>
          <w:szCs w:val="20"/>
          <w:lang w:val="en-US"/>
        </w:rPr>
        <w:t>Ceiling systems – manufacturer: Rockfon; Chicago; https://www.rockfon.com</w:t>
      </w:r>
    </w:p>
    <w:p w14:paraId="43CB7460" w14:textId="77777777" w:rsidR="007E08C8" w:rsidRPr="007E08C8" w:rsidRDefault="007E08C8" w:rsidP="007E08C8">
      <w:pPr>
        <w:pStyle w:val="ListParagraph"/>
        <w:numPr>
          <w:ilvl w:val="0"/>
          <w:numId w:val="5"/>
        </w:numPr>
        <w:rPr>
          <w:rFonts w:ascii="Arial" w:hAnsi="Arial" w:cs="Arial"/>
          <w:sz w:val="20"/>
          <w:szCs w:val="20"/>
        </w:rPr>
      </w:pPr>
      <w:r w:rsidRPr="007E08C8">
        <w:rPr>
          <w:rFonts w:ascii="Arial" w:hAnsi="Arial" w:cs="Arial"/>
          <w:color w:val="000000"/>
          <w:sz w:val="20"/>
          <w:szCs w:val="20"/>
        </w:rPr>
        <w:t xml:space="preserve">Photographer: Tom </w:t>
      </w:r>
      <w:proofErr w:type="spellStart"/>
      <w:r w:rsidRPr="007E08C8">
        <w:rPr>
          <w:rFonts w:ascii="Arial" w:hAnsi="Arial" w:cs="Arial"/>
          <w:color w:val="000000"/>
          <w:sz w:val="20"/>
          <w:szCs w:val="20"/>
        </w:rPr>
        <w:t>Arban</w:t>
      </w:r>
      <w:proofErr w:type="spellEnd"/>
      <w:r w:rsidRPr="007E08C8">
        <w:rPr>
          <w:rFonts w:ascii="Arial" w:hAnsi="Arial" w:cs="Arial"/>
          <w:color w:val="000000"/>
          <w:sz w:val="20"/>
          <w:szCs w:val="20"/>
        </w:rPr>
        <w:t xml:space="preserve"> Photography Inc.</w:t>
      </w:r>
    </w:p>
    <w:p w14:paraId="6F3C6296" w14:textId="77777777" w:rsidR="007E08C8" w:rsidRPr="007E08C8" w:rsidRDefault="007E08C8" w:rsidP="007E08C8">
      <w:pPr>
        <w:pStyle w:val="ListParagraph"/>
        <w:numPr>
          <w:ilvl w:val="0"/>
          <w:numId w:val="5"/>
        </w:numPr>
        <w:rPr>
          <w:rFonts w:ascii="Arial" w:hAnsi="Arial" w:cs="Arial"/>
          <w:sz w:val="20"/>
          <w:szCs w:val="20"/>
        </w:rPr>
      </w:pPr>
      <w:r w:rsidRPr="007E08C8">
        <w:rPr>
          <w:rFonts w:ascii="Arial" w:hAnsi="Arial" w:cs="Arial"/>
          <w:sz w:val="20"/>
          <w:szCs w:val="20"/>
        </w:rPr>
        <w:t>Facility overview video: https://www.youtube.com/watch?v=_ygrMEiG4sI</w:t>
      </w:r>
    </w:p>
    <w:p w14:paraId="6E52E4F6" w14:textId="77777777" w:rsidR="000D64ED" w:rsidRPr="007E08C8" w:rsidRDefault="000D64ED" w:rsidP="00936A93">
      <w:pPr>
        <w:ind w:right="8"/>
        <w:contextualSpacing/>
        <w:rPr>
          <w:rFonts w:ascii="Arial" w:hAnsi="Arial" w:cs="Arial"/>
          <w:b/>
          <w:i/>
          <w:iCs/>
          <w:sz w:val="20"/>
          <w:szCs w:val="20"/>
        </w:rPr>
      </w:pPr>
    </w:p>
    <w:p w14:paraId="51F6FAAB" w14:textId="56D9A4F4" w:rsidR="00CD44DC" w:rsidRPr="008E658D" w:rsidRDefault="00CD44DC" w:rsidP="00561B3B">
      <w:pPr>
        <w:ind w:right="8"/>
        <w:contextualSpacing/>
        <w:rPr>
          <w:rFonts w:ascii="Arial" w:hAnsi="Arial" w:cs="Arial"/>
          <w:b/>
          <w:i/>
          <w:iCs/>
          <w:sz w:val="18"/>
          <w:szCs w:val="18"/>
        </w:rPr>
      </w:pPr>
      <w:r w:rsidRPr="008E658D">
        <w:rPr>
          <w:rFonts w:ascii="Arial" w:hAnsi="Arial" w:cs="Arial"/>
          <w:b/>
          <w:i/>
          <w:iCs/>
          <w:sz w:val="18"/>
          <w:szCs w:val="18"/>
        </w:rPr>
        <w:t>About Rockfon</w:t>
      </w:r>
    </w:p>
    <w:p w14:paraId="0AFB58C7" w14:textId="77777777" w:rsidR="00CD44DC" w:rsidRPr="008E658D" w:rsidRDefault="00CD44DC" w:rsidP="00561B3B">
      <w:pPr>
        <w:ind w:right="8"/>
        <w:contextualSpacing/>
        <w:rPr>
          <w:rFonts w:ascii="Arial" w:hAnsi="Arial" w:cs="Arial"/>
          <w:i/>
          <w:iCs/>
          <w:sz w:val="18"/>
          <w:szCs w:val="18"/>
        </w:rPr>
      </w:pPr>
      <w:r w:rsidRPr="008E658D">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8E658D" w:rsidRDefault="00CD44DC" w:rsidP="00561B3B">
      <w:pPr>
        <w:ind w:right="8"/>
        <w:contextualSpacing/>
        <w:rPr>
          <w:rFonts w:ascii="Arial" w:hAnsi="Arial" w:cs="Arial"/>
          <w:i/>
          <w:iCs/>
          <w:sz w:val="18"/>
          <w:szCs w:val="18"/>
        </w:rPr>
      </w:pPr>
    </w:p>
    <w:p w14:paraId="1FCA8A54" w14:textId="77777777" w:rsidR="00CD44DC" w:rsidRPr="008E658D" w:rsidRDefault="00CD44DC" w:rsidP="00561B3B">
      <w:pPr>
        <w:ind w:right="8"/>
        <w:contextualSpacing/>
        <w:rPr>
          <w:rFonts w:ascii="Arial" w:hAnsi="Arial" w:cs="Arial"/>
          <w:i/>
          <w:iCs/>
          <w:sz w:val="18"/>
          <w:szCs w:val="18"/>
        </w:rPr>
      </w:pPr>
      <w:r w:rsidRPr="008E658D">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8E658D" w:rsidRDefault="00CD44DC" w:rsidP="00561B3B">
      <w:pPr>
        <w:ind w:right="8"/>
        <w:contextualSpacing/>
        <w:rPr>
          <w:rFonts w:ascii="Arial" w:hAnsi="Arial" w:cs="Arial"/>
          <w:i/>
          <w:iCs/>
          <w:sz w:val="18"/>
          <w:szCs w:val="18"/>
        </w:rPr>
      </w:pPr>
    </w:p>
    <w:p w14:paraId="120581C9" w14:textId="77B32821" w:rsidR="00FC709E" w:rsidRPr="008E658D" w:rsidRDefault="00CD44DC" w:rsidP="00561B3B">
      <w:pPr>
        <w:ind w:right="8"/>
        <w:contextualSpacing/>
        <w:rPr>
          <w:rFonts w:ascii="Arial" w:hAnsi="Arial" w:cs="Arial"/>
          <w:i/>
          <w:iCs/>
          <w:sz w:val="18"/>
          <w:szCs w:val="18"/>
        </w:rPr>
      </w:pPr>
      <w:r w:rsidRPr="008E658D">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3ABF452E" w:rsidR="00FB4D8B" w:rsidRPr="008E658D" w:rsidRDefault="00CD44DC" w:rsidP="00561B3B">
      <w:pPr>
        <w:ind w:right="8"/>
        <w:contextualSpacing/>
        <w:jc w:val="center"/>
        <w:rPr>
          <w:rFonts w:ascii="Arial" w:hAnsi="Arial" w:cs="Arial"/>
          <w:i/>
          <w:iCs/>
          <w:sz w:val="18"/>
          <w:szCs w:val="18"/>
        </w:rPr>
      </w:pPr>
      <w:r w:rsidRPr="008E658D">
        <w:rPr>
          <w:rFonts w:ascii="Arial" w:hAnsi="Arial" w:cs="Arial"/>
          <w:i/>
          <w:iCs/>
          <w:sz w:val="18"/>
          <w:szCs w:val="18"/>
        </w:rPr>
        <w:t>###</w:t>
      </w:r>
    </w:p>
    <w:sectPr w:rsidR="00FB4D8B" w:rsidRPr="008E658D" w:rsidSect="00242BA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8775" w14:textId="77777777" w:rsidR="00AE5B35" w:rsidRDefault="00AE5B35" w:rsidP="00746BC4">
      <w:r>
        <w:separator/>
      </w:r>
    </w:p>
  </w:endnote>
  <w:endnote w:type="continuationSeparator" w:id="0">
    <w:p w14:paraId="27B10FC7" w14:textId="77777777" w:rsidR="00AE5B35" w:rsidRDefault="00AE5B35"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9EFD4" w14:textId="77777777" w:rsidR="00AE5B35" w:rsidRDefault="00AE5B35" w:rsidP="00746BC4">
      <w:r>
        <w:separator/>
      </w:r>
    </w:p>
  </w:footnote>
  <w:footnote w:type="continuationSeparator" w:id="0">
    <w:p w14:paraId="60E8DDCF" w14:textId="77777777" w:rsidR="00AE5B35" w:rsidRDefault="00AE5B35"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63E2"/>
    <w:multiLevelType w:val="hybridMultilevel"/>
    <w:tmpl w:val="4C82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5A4E5C"/>
    <w:multiLevelType w:val="hybridMultilevel"/>
    <w:tmpl w:val="45E24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7C28C3"/>
    <w:multiLevelType w:val="hybridMultilevel"/>
    <w:tmpl w:val="1C44A376"/>
    <w:styleLink w:val="ImportedStyle1"/>
    <w:lvl w:ilvl="0" w:tplc="5E0C66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F817F8">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C02EE2">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A15FE">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54143E">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5AADAC">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10F0B2">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3C79BA">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C2702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4BD16487"/>
    <w:multiLevelType w:val="hybridMultilevel"/>
    <w:tmpl w:val="1C44A376"/>
    <w:numStyleLink w:val="ImportedStyle1"/>
  </w:abstractNum>
  <w:abstractNum w:abstractNumId="5" w15:restartNumberingAfterBreak="0">
    <w:nsid w:val="54F03FEA"/>
    <w:multiLevelType w:val="hybridMultilevel"/>
    <w:tmpl w:val="72F20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3"/>
  </w:num>
  <w:num w:numId="2" w16cid:durableId="1904413069">
    <w:abstractNumId w:val="6"/>
  </w:num>
  <w:num w:numId="3" w16cid:durableId="801965912">
    <w:abstractNumId w:val="2"/>
  </w:num>
  <w:num w:numId="4" w16cid:durableId="1859346923">
    <w:abstractNumId w:val="4"/>
  </w:num>
  <w:num w:numId="5" w16cid:durableId="792480644">
    <w:abstractNumId w:val="0"/>
  </w:num>
  <w:num w:numId="6" w16cid:durableId="1022895242">
    <w:abstractNumId w:val="5"/>
  </w:num>
  <w:num w:numId="7" w16cid:durableId="8497581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23E02"/>
    <w:rsid w:val="00030FD3"/>
    <w:rsid w:val="00033D93"/>
    <w:rsid w:val="000350E2"/>
    <w:rsid w:val="00047EC6"/>
    <w:rsid w:val="0005009F"/>
    <w:rsid w:val="0005058E"/>
    <w:rsid w:val="000531E7"/>
    <w:rsid w:val="00055FEF"/>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732"/>
    <w:rsid w:val="000C0F7E"/>
    <w:rsid w:val="000C4F19"/>
    <w:rsid w:val="000D0D4B"/>
    <w:rsid w:val="000D4CE7"/>
    <w:rsid w:val="000D64ED"/>
    <w:rsid w:val="000D6F96"/>
    <w:rsid w:val="000E0B71"/>
    <w:rsid w:val="000E32D2"/>
    <w:rsid w:val="000F1594"/>
    <w:rsid w:val="000F56FA"/>
    <w:rsid w:val="000F6DCA"/>
    <w:rsid w:val="000F6FB3"/>
    <w:rsid w:val="000F78E1"/>
    <w:rsid w:val="001015EE"/>
    <w:rsid w:val="001039E7"/>
    <w:rsid w:val="001048F7"/>
    <w:rsid w:val="001064B6"/>
    <w:rsid w:val="00116926"/>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122F"/>
    <w:rsid w:val="00223AF4"/>
    <w:rsid w:val="00225DAF"/>
    <w:rsid w:val="002270D9"/>
    <w:rsid w:val="00227CD1"/>
    <w:rsid w:val="002321B6"/>
    <w:rsid w:val="0023659D"/>
    <w:rsid w:val="00237E15"/>
    <w:rsid w:val="00242BA4"/>
    <w:rsid w:val="00251770"/>
    <w:rsid w:val="00263D97"/>
    <w:rsid w:val="00264152"/>
    <w:rsid w:val="0026487C"/>
    <w:rsid w:val="00267DE8"/>
    <w:rsid w:val="00270CE4"/>
    <w:rsid w:val="00272A22"/>
    <w:rsid w:val="0028065B"/>
    <w:rsid w:val="00287BFB"/>
    <w:rsid w:val="00290523"/>
    <w:rsid w:val="00293864"/>
    <w:rsid w:val="00295837"/>
    <w:rsid w:val="00297115"/>
    <w:rsid w:val="002971BE"/>
    <w:rsid w:val="002A7C5E"/>
    <w:rsid w:val="002B57DE"/>
    <w:rsid w:val="002C438B"/>
    <w:rsid w:val="002C682A"/>
    <w:rsid w:val="002D0D22"/>
    <w:rsid w:val="002D252D"/>
    <w:rsid w:val="002D3406"/>
    <w:rsid w:val="002D5003"/>
    <w:rsid w:val="002E2108"/>
    <w:rsid w:val="002F454C"/>
    <w:rsid w:val="0030002F"/>
    <w:rsid w:val="00300D82"/>
    <w:rsid w:val="0030196D"/>
    <w:rsid w:val="003149F8"/>
    <w:rsid w:val="00314B56"/>
    <w:rsid w:val="00315C32"/>
    <w:rsid w:val="00325E54"/>
    <w:rsid w:val="00327518"/>
    <w:rsid w:val="0033622D"/>
    <w:rsid w:val="003513AB"/>
    <w:rsid w:val="00351617"/>
    <w:rsid w:val="00352D14"/>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6CAA"/>
    <w:rsid w:val="00446FBC"/>
    <w:rsid w:val="004626A7"/>
    <w:rsid w:val="00464D5D"/>
    <w:rsid w:val="004665FA"/>
    <w:rsid w:val="004672AF"/>
    <w:rsid w:val="004725E9"/>
    <w:rsid w:val="00476ED6"/>
    <w:rsid w:val="004775C1"/>
    <w:rsid w:val="00482362"/>
    <w:rsid w:val="00487292"/>
    <w:rsid w:val="004874A0"/>
    <w:rsid w:val="00490E04"/>
    <w:rsid w:val="00496C10"/>
    <w:rsid w:val="004A0345"/>
    <w:rsid w:val="004B2638"/>
    <w:rsid w:val="004C0B44"/>
    <w:rsid w:val="004C35D4"/>
    <w:rsid w:val="004C5963"/>
    <w:rsid w:val="004C6A39"/>
    <w:rsid w:val="004C75D2"/>
    <w:rsid w:val="004D3557"/>
    <w:rsid w:val="004D78F8"/>
    <w:rsid w:val="004E20FB"/>
    <w:rsid w:val="004E2F63"/>
    <w:rsid w:val="004E3897"/>
    <w:rsid w:val="004E4DAB"/>
    <w:rsid w:val="004F1785"/>
    <w:rsid w:val="0050627D"/>
    <w:rsid w:val="00510515"/>
    <w:rsid w:val="005118EB"/>
    <w:rsid w:val="00513369"/>
    <w:rsid w:val="0051740B"/>
    <w:rsid w:val="00524C14"/>
    <w:rsid w:val="00526B31"/>
    <w:rsid w:val="00527392"/>
    <w:rsid w:val="0054410F"/>
    <w:rsid w:val="00544DF9"/>
    <w:rsid w:val="00544ED2"/>
    <w:rsid w:val="005462C2"/>
    <w:rsid w:val="0055324F"/>
    <w:rsid w:val="00554D2E"/>
    <w:rsid w:val="00555E73"/>
    <w:rsid w:val="00560A2C"/>
    <w:rsid w:val="00561B3B"/>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044E"/>
    <w:rsid w:val="00646DC9"/>
    <w:rsid w:val="006537A3"/>
    <w:rsid w:val="006552ED"/>
    <w:rsid w:val="0065671D"/>
    <w:rsid w:val="00656E38"/>
    <w:rsid w:val="006570AD"/>
    <w:rsid w:val="00657355"/>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C0696"/>
    <w:rsid w:val="006D0C4D"/>
    <w:rsid w:val="006D1CDD"/>
    <w:rsid w:val="006D45F7"/>
    <w:rsid w:val="006D59C0"/>
    <w:rsid w:val="006E3DED"/>
    <w:rsid w:val="006F09C5"/>
    <w:rsid w:val="006F3B92"/>
    <w:rsid w:val="006F512D"/>
    <w:rsid w:val="006F69A5"/>
    <w:rsid w:val="0070203C"/>
    <w:rsid w:val="00702603"/>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1A53"/>
    <w:rsid w:val="00782790"/>
    <w:rsid w:val="00784382"/>
    <w:rsid w:val="00784786"/>
    <w:rsid w:val="00784C3C"/>
    <w:rsid w:val="007A25AD"/>
    <w:rsid w:val="007A376E"/>
    <w:rsid w:val="007B0609"/>
    <w:rsid w:val="007B66BE"/>
    <w:rsid w:val="007C0260"/>
    <w:rsid w:val="007C24F5"/>
    <w:rsid w:val="007C3BA6"/>
    <w:rsid w:val="007C6213"/>
    <w:rsid w:val="007C6E25"/>
    <w:rsid w:val="007D118D"/>
    <w:rsid w:val="007D17B3"/>
    <w:rsid w:val="007D4E33"/>
    <w:rsid w:val="007E08C8"/>
    <w:rsid w:val="007E30FB"/>
    <w:rsid w:val="007F113B"/>
    <w:rsid w:val="007F4456"/>
    <w:rsid w:val="00801848"/>
    <w:rsid w:val="0080609D"/>
    <w:rsid w:val="00811B59"/>
    <w:rsid w:val="008260C8"/>
    <w:rsid w:val="00833BED"/>
    <w:rsid w:val="00835C81"/>
    <w:rsid w:val="008407CA"/>
    <w:rsid w:val="008409A8"/>
    <w:rsid w:val="00845106"/>
    <w:rsid w:val="008468ED"/>
    <w:rsid w:val="0085316E"/>
    <w:rsid w:val="00855F83"/>
    <w:rsid w:val="00873E81"/>
    <w:rsid w:val="00876D59"/>
    <w:rsid w:val="00885FB4"/>
    <w:rsid w:val="00894F5E"/>
    <w:rsid w:val="00897EF1"/>
    <w:rsid w:val="008A1501"/>
    <w:rsid w:val="008B6C7F"/>
    <w:rsid w:val="008B6D2E"/>
    <w:rsid w:val="008C00C6"/>
    <w:rsid w:val="008C2884"/>
    <w:rsid w:val="008C3111"/>
    <w:rsid w:val="008C55C6"/>
    <w:rsid w:val="008C6C5D"/>
    <w:rsid w:val="008C7B1A"/>
    <w:rsid w:val="008D03AD"/>
    <w:rsid w:val="008D091D"/>
    <w:rsid w:val="008D0DAF"/>
    <w:rsid w:val="008D4019"/>
    <w:rsid w:val="008E3BD8"/>
    <w:rsid w:val="008E658D"/>
    <w:rsid w:val="008F62D3"/>
    <w:rsid w:val="00901CC5"/>
    <w:rsid w:val="009154CC"/>
    <w:rsid w:val="00916E00"/>
    <w:rsid w:val="00920327"/>
    <w:rsid w:val="00922E0C"/>
    <w:rsid w:val="009260C3"/>
    <w:rsid w:val="00932CC1"/>
    <w:rsid w:val="00936A93"/>
    <w:rsid w:val="0093712F"/>
    <w:rsid w:val="00943BD0"/>
    <w:rsid w:val="0094491D"/>
    <w:rsid w:val="009458D9"/>
    <w:rsid w:val="00947590"/>
    <w:rsid w:val="00952821"/>
    <w:rsid w:val="009602FD"/>
    <w:rsid w:val="00960DA4"/>
    <w:rsid w:val="0096220A"/>
    <w:rsid w:val="00962FD1"/>
    <w:rsid w:val="00963FF4"/>
    <w:rsid w:val="00966B2E"/>
    <w:rsid w:val="00973612"/>
    <w:rsid w:val="009767F8"/>
    <w:rsid w:val="00976DBC"/>
    <w:rsid w:val="00990008"/>
    <w:rsid w:val="00994AE9"/>
    <w:rsid w:val="00994EE1"/>
    <w:rsid w:val="009A463B"/>
    <w:rsid w:val="009A59D9"/>
    <w:rsid w:val="009B3398"/>
    <w:rsid w:val="009B3947"/>
    <w:rsid w:val="009B3CEF"/>
    <w:rsid w:val="009B54E5"/>
    <w:rsid w:val="009B70C3"/>
    <w:rsid w:val="009C26DC"/>
    <w:rsid w:val="009C2E29"/>
    <w:rsid w:val="009C6B56"/>
    <w:rsid w:val="009C6ECC"/>
    <w:rsid w:val="009E013C"/>
    <w:rsid w:val="009E130D"/>
    <w:rsid w:val="009E4A62"/>
    <w:rsid w:val="009F0E94"/>
    <w:rsid w:val="009F10E0"/>
    <w:rsid w:val="00A13892"/>
    <w:rsid w:val="00A155BB"/>
    <w:rsid w:val="00A207CA"/>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D84"/>
    <w:rsid w:val="00AE29F3"/>
    <w:rsid w:val="00AE2DAC"/>
    <w:rsid w:val="00AE5B35"/>
    <w:rsid w:val="00AF1E60"/>
    <w:rsid w:val="00AF30B3"/>
    <w:rsid w:val="00B03A8F"/>
    <w:rsid w:val="00B071C9"/>
    <w:rsid w:val="00B1691E"/>
    <w:rsid w:val="00B324B3"/>
    <w:rsid w:val="00B46486"/>
    <w:rsid w:val="00B50D5F"/>
    <w:rsid w:val="00B51C8D"/>
    <w:rsid w:val="00B5526C"/>
    <w:rsid w:val="00B559DD"/>
    <w:rsid w:val="00B573C1"/>
    <w:rsid w:val="00B71248"/>
    <w:rsid w:val="00B719D6"/>
    <w:rsid w:val="00B74FEA"/>
    <w:rsid w:val="00B82BB4"/>
    <w:rsid w:val="00B82C92"/>
    <w:rsid w:val="00B8651F"/>
    <w:rsid w:val="00B91E22"/>
    <w:rsid w:val="00B92930"/>
    <w:rsid w:val="00BA7C50"/>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D6C0B"/>
    <w:rsid w:val="00CE270C"/>
    <w:rsid w:val="00D025E4"/>
    <w:rsid w:val="00D04196"/>
    <w:rsid w:val="00D04986"/>
    <w:rsid w:val="00D04F81"/>
    <w:rsid w:val="00D07486"/>
    <w:rsid w:val="00D1081C"/>
    <w:rsid w:val="00D12E81"/>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4825"/>
    <w:rsid w:val="00D84856"/>
    <w:rsid w:val="00D867DC"/>
    <w:rsid w:val="00D91321"/>
    <w:rsid w:val="00D947C0"/>
    <w:rsid w:val="00D9494E"/>
    <w:rsid w:val="00D9513D"/>
    <w:rsid w:val="00D95C39"/>
    <w:rsid w:val="00D95D15"/>
    <w:rsid w:val="00DA056D"/>
    <w:rsid w:val="00DA54D8"/>
    <w:rsid w:val="00DB1828"/>
    <w:rsid w:val="00DB2DF5"/>
    <w:rsid w:val="00DB34EE"/>
    <w:rsid w:val="00DB4E32"/>
    <w:rsid w:val="00DB7637"/>
    <w:rsid w:val="00DC3DE0"/>
    <w:rsid w:val="00DC4622"/>
    <w:rsid w:val="00DC708F"/>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40BF"/>
    <w:rsid w:val="00E606F1"/>
    <w:rsid w:val="00E61685"/>
    <w:rsid w:val="00E64B2C"/>
    <w:rsid w:val="00E73CB8"/>
    <w:rsid w:val="00E8729E"/>
    <w:rsid w:val="00EA1285"/>
    <w:rsid w:val="00EA177F"/>
    <w:rsid w:val="00EA3FE2"/>
    <w:rsid w:val="00EA5CEB"/>
    <w:rsid w:val="00EA6E4F"/>
    <w:rsid w:val="00EB5CB7"/>
    <w:rsid w:val="00EB6A6C"/>
    <w:rsid w:val="00EC28C6"/>
    <w:rsid w:val="00EC48CB"/>
    <w:rsid w:val="00ED40C5"/>
    <w:rsid w:val="00EF3B71"/>
    <w:rsid w:val="00EF6857"/>
    <w:rsid w:val="00EF6D3F"/>
    <w:rsid w:val="00F07CBE"/>
    <w:rsid w:val="00F11A8C"/>
    <w:rsid w:val="00F20C39"/>
    <w:rsid w:val="00F21C0B"/>
    <w:rsid w:val="00F21FFC"/>
    <w:rsid w:val="00F241DC"/>
    <w:rsid w:val="00F26BB8"/>
    <w:rsid w:val="00F47D1C"/>
    <w:rsid w:val="00F51ABF"/>
    <w:rsid w:val="00F53DB9"/>
    <w:rsid w:val="00F5584A"/>
    <w:rsid w:val="00F6073C"/>
    <w:rsid w:val="00F61223"/>
    <w:rsid w:val="00F64207"/>
    <w:rsid w:val="00F6668B"/>
    <w:rsid w:val="00F674C9"/>
    <w:rsid w:val="00F74C21"/>
    <w:rsid w:val="00F84192"/>
    <w:rsid w:val="00F85988"/>
    <w:rsid w:val="00F92968"/>
    <w:rsid w:val="00F97325"/>
    <w:rsid w:val="00FA3AEC"/>
    <w:rsid w:val="00FA4746"/>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 w:val="00FF74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 w:type="character" w:customStyle="1" w:styleId="markedcontent">
    <w:name w:val="markedcontent"/>
    <w:basedOn w:val="DefaultParagraphFont"/>
    <w:rsid w:val="000D64ED"/>
  </w:style>
  <w:style w:type="character" w:customStyle="1" w:styleId="normaltextrun">
    <w:name w:val="normaltextrun"/>
    <w:basedOn w:val="DefaultParagraphFont"/>
    <w:rsid w:val="00225DAF"/>
  </w:style>
  <w:style w:type="paragraph" w:customStyle="1" w:styleId="Body">
    <w:name w:val="Body"/>
    <w:rsid w:val="00544ED2"/>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rPr>
  </w:style>
  <w:style w:type="numbering" w:customStyle="1" w:styleId="ImportedStyle1">
    <w:name w:val="Imported Style 1"/>
    <w:rsid w:val="00544ED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53654645">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069613273">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customXml/itemProps3.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4.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7907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3</cp:revision>
  <cp:lastPrinted>2021-03-03T22:39:00Z</cp:lastPrinted>
  <dcterms:created xsi:type="dcterms:W3CDTF">2022-12-12T15:37:00Z</dcterms:created>
  <dcterms:modified xsi:type="dcterms:W3CDTF">2022-12-12T15:46:00Z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