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51C9" w14:textId="33537016" w:rsidR="00AE2F34" w:rsidRPr="00217746" w:rsidRDefault="00AE2F34" w:rsidP="00C83668">
      <w:pPr>
        <w:spacing w:after="0" w:line="240" w:lineRule="auto"/>
        <w:contextualSpacing/>
        <w:rPr>
          <w:rFonts w:ascii="Calibri" w:hAnsi="Calibri" w:cs="Calibri"/>
        </w:rPr>
      </w:pPr>
    </w:p>
    <w:p w14:paraId="4C2E18E1" w14:textId="77777777" w:rsidR="00AE2F34" w:rsidRDefault="00AE2F34" w:rsidP="00C83668">
      <w:pPr>
        <w:spacing w:after="0" w:line="240" w:lineRule="auto"/>
        <w:contextualSpacing/>
        <w:rPr>
          <w:rFonts w:ascii="Calibri" w:hAnsi="Calibri" w:cs="Calibri"/>
        </w:rPr>
      </w:pPr>
    </w:p>
    <w:p w14:paraId="2B1F8E8D" w14:textId="77777777" w:rsidR="00217746" w:rsidRPr="00217746" w:rsidRDefault="00217746" w:rsidP="00C83668">
      <w:pPr>
        <w:spacing w:after="0" w:line="240" w:lineRule="auto"/>
        <w:contextualSpacing/>
        <w:rPr>
          <w:rFonts w:ascii="Calibri" w:hAnsi="Calibri" w:cs="Calibri"/>
        </w:rPr>
      </w:pPr>
    </w:p>
    <w:p w14:paraId="22B658E0" w14:textId="77777777" w:rsidR="00AE2F34" w:rsidRPr="00217746" w:rsidRDefault="00AE2F34" w:rsidP="00C83668">
      <w:pPr>
        <w:spacing w:after="0" w:line="240" w:lineRule="auto"/>
        <w:contextualSpacing/>
        <w:rPr>
          <w:rFonts w:ascii="Calibri" w:hAnsi="Calibri" w:cs="Calibri"/>
        </w:rPr>
      </w:pPr>
    </w:p>
    <w:p w14:paraId="6BBDED0E" w14:textId="6CB691E8" w:rsidR="0072775F" w:rsidRPr="0072775F" w:rsidRDefault="0072775F" w:rsidP="00C83668">
      <w:pPr>
        <w:spacing w:after="0" w:line="240" w:lineRule="auto"/>
        <w:contextualSpacing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775F">
        <w:rPr>
          <w:rFonts w:ascii="Calibri" w:hAnsi="Calibri" w:cs="Calibri"/>
          <w:b/>
          <w:bCs/>
          <w:i/>
          <w:iCs/>
          <w:sz w:val="20"/>
          <w:szCs w:val="20"/>
        </w:rPr>
        <w:t>EXHIBITING IN BOOTH #4417 AT GLASSBUILD AMERICA</w:t>
      </w:r>
    </w:p>
    <w:p w14:paraId="0550ECCA" w14:textId="4AC7BD81" w:rsidR="00EB5BB2" w:rsidRPr="00217746" w:rsidRDefault="00EB5BB2" w:rsidP="00C83668">
      <w:pPr>
        <w:spacing w:after="0" w:line="240" w:lineRule="auto"/>
        <w:contextualSpacing/>
        <w:rPr>
          <w:rFonts w:ascii="Calibri" w:hAnsi="Calibri" w:cs="Calibri"/>
          <w:i/>
          <w:iCs/>
          <w:sz w:val="20"/>
          <w:szCs w:val="20"/>
        </w:rPr>
      </w:pPr>
      <w:r w:rsidRPr="00217746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8" w:history="1">
        <w:r w:rsidRPr="00217746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0C98AF3E" w14:textId="77777777" w:rsidR="00EB5BB2" w:rsidRPr="00217746" w:rsidRDefault="00EB5BB2" w:rsidP="00C83668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4E603E0" w14:textId="5E476626" w:rsidR="000F2072" w:rsidRDefault="00AD515B" w:rsidP="00C83668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EFCO 2700 Windows</w:t>
      </w:r>
      <w:r w:rsidR="000F2072">
        <w:rPr>
          <w:rFonts w:ascii="Calibri" w:hAnsi="Calibri" w:cs="Calibri"/>
          <w:b/>
          <w:bCs/>
          <w:sz w:val="28"/>
          <w:szCs w:val="28"/>
        </w:rPr>
        <w:t xml:space="preserve"> provide high thermal performance</w:t>
      </w:r>
    </w:p>
    <w:p w14:paraId="4C6D24B0" w14:textId="38D5061E" w:rsidR="00EB5BB2" w:rsidRPr="00217746" w:rsidRDefault="000F2072" w:rsidP="00C83668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for energy-efficient, sustainable building projects</w:t>
      </w:r>
    </w:p>
    <w:p w14:paraId="17D63340" w14:textId="77777777" w:rsidR="004E6809" w:rsidRPr="00434D8F" w:rsidRDefault="004E6809" w:rsidP="00C83668">
      <w:pPr>
        <w:spacing w:after="0" w:line="240" w:lineRule="auto"/>
        <w:contextualSpacing/>
      </w:pPr>
    </w:p>
    <w:p w14:paraId="1B003172" w14:textId="74007040" w:rsidR="00434D8F" w:rsidRDefault="0072775F" w:rsidP="00C83668">
      <w:pPr>
        <w:spacing w:after="0" w:line="240" w:lineRule="auto"/>
        <w:contextualSpacing/>
      </w:pPr>
      <w:r w:rsidRPr="00434D8F">
        <w:t>Wausau, Wisconsin</w:t>
      </w:r>
      <w:r w:rsidR="00EB5BB2" w:rsidRPr="00434D8F">
        <w:t xml:space="preserve"> (</w:t>
      </w:r>
      <w:r w:rsidRPr="00434D8F">
        <w:t>June</w:t>
      </w:r>
      <w:r w:rsidR="00EB5BB2" w:rsidRPr="00434D8F">
        <w:t xml:space="preserve"> 202</w:t>
      </w:r>
      <w:r w:rsidR="004E6809" w:rsidRPr="00434D8F">
        <w:t>6</w:t>
      </w:r>
      <w:r w:rsidR="00EB5BB2" w:rsidRPr="00434D8F">
        <w:t>) –</w:t>
      </w:r>
      <w:r w:rsidR="00434D8F">
        <w:t xml:space="preserve"> </w:t>
      </w:r>
      <w:r w:rsidR="00434D8F" w:rsidRPr="00434D8F">
        <w:t>Designed for energy-efficient, commercial and multifamily buildings, EFCO</w:t>
      </w:r>
      <w:r w:rsidR="00434D8F">
        <w:t>®</w:t>
      </w:r>
      <w:r w:rsidR="00434D8F" w:rsidRPr="00434D8F">
        <w:t xml:space="preserve"> 2700 Series high thermal performance, aluminum-framed windows are engineered for demanding project specifications and a variety of architectural styles.</w:t>
      </w:r>
      <w:r w:rsidR="00434D8F">
        <w:t xml:space="preserve"> </w:t>
      </w:r>
      <w:r w:rsidR="00434D8F" w:rsidRPr="00434D8F">
        <w:t>EFCO</w:t>
      </w:r>
      <w:r w:rsidR="00434D8F">
        <w:t>, a</w:t>
      </w:r>
      <w:r w:rsidR="00434D8F" w:rsidRPr="00434D8F">
        <w:t xml:space="preserve"> brand of Apogee Architectural Metals</w:t>
      </w:r>
      <w:r w:rsidR="00434D8F">
        <w:t xml:space="preserve">, </w:t>
      </w:r>
      <w:r w:rsidR="00434D8F">
        <w:rPr>
          <w:rFonts w:ascii="Calibri" w:hAnsi="Calibri" w:cs="Calibri"/>
        </w:rPr>
        <w:t>offers its</w:t>
      </w:r>
      <w:r w:rsidR="00434D8F" w:rsidRPr="00434D8F">
        <w:t xml:space="preserve"> 2700 </w:t>
      </w:r>
      <w:r w:rsidR="00E971CB">
        <w:t>S</w:t>
      </w:r>
      <w:r w:rsidR="00434D8F" w:rsidRPr="00434D8F">
        <w:t>eries in fixed</w:t>
      </w:r>
      <w:r w:rsidR="006F0C3B">
        <w:t>,</w:t>
      </w:r>
      <w:r w:rsidR="00E971CB">
        <w:t xml:space="preserve"> projected </w:t>
      </w:r>
      <w:r w:rsidR="006F0C3B">
        <w:t xml:space="preserve">and casement </w:t>
      </w:r>
      <w:r w:rsidR="00E971CB">
        <w:t xml:space="preserve">window </w:t>
      </w:r>
      <w:r w:rsidR="00434D8F" w:rsidRPr="00434D8F">
        <w:t>configurations</w:t>
      </w:r>
      <w:r w:rsidR="00E971CB">
        <w:t>.</w:t>
      </w:r>
    </w:p>
    <w:p w14:paraId="4829504F" w14:textId="77777777" w:rsidR="00434D8F" w:rsidRDefault="00434D8F" w:rsidP="00C83668">
      <w:pPr>
        <w:spacing w:after="0" w:line="240" w:lineRule="auto"/>
        <w:contextualSpacing/>
      </w:pPr>
    </w:p>
    <w:p w14:paraId="2AB13FCC" w14:textId="6295B40A" w:rsidR="00C83668" w:rsidRDefault="00C83668" w:rsidP="00C83668">
      <w:pPr>
        <w:spacing w:after="0" w:line="240" w:lineRule="auto"/>
        <w:contextualSpacing/>
      </w:pPr>
      <w:r w:rsidRPr="00434D8F">
        <w:t>Supporting energy-efficient, code-compliant projects,</w:t>
      </w:r>
      <w:r>
        <w:t xml:space="preserve"> </w:t>
      </w:r>
      <w:r w:rsidR="00434D8F" w:rsidRPr="00434D8F">
        <w:t xml:space="preserve">EFCO 2700 </w:t>
      </w:r>
      <w:r w:rsidR="00E971CB">
        <w:t>windows</w:t>
      </w:r>
      <w:r w:rsidR="00434D8F" w:rsidRPr="00434D8F">
        <w:t xml:space="preserve"> feature</w:t>
      </w:r>
      <w:r w:rsidR="00434D8F">
        <w:t xml:space="preserve"> t</w:t>
      </w:r>
      <w:r w:rsidR="00434D8F" w:rsidRPr="00434D8F">
        <w:t xml:space="preserve">hermally broken framing and sash with </w:t>
      </w:r>
      <w:r w:rsidR="00462494">
        <w:t xml:space="preserve">an </w:t>
      </w:r>
      <w:r w:rsidR="00434D8F" w:rsidRPr="00434D8F">
        <w:t>insulating thermal barrier</w:t>
      </w:r>
      <w:r w:rsidR="00434D8F">
        <w:t xml:space="preserve">. </w:t>
      </w:r>
      <w:r>
        <w:t>Fixed windows can achieve U-factors as low as 0.31 and frame condensation resistance as high as 5</w:t>
      </w:r>
      <w:r w:rsidR="006F0C3B">
        <w:t>4</w:t>
      </w:r>
      <w:r>
        <w:t xml:space="preserve"> CRF</w:t>
      </w:r>
      <w:r w:rsidRPr="00C83668">
        <w:rPr>
          <w:vertAlign w:val="subscript"/>
        </w:rPr>
        <w:t>f</w:t>
      </w:r>
      <w:r>
        <w:t>.</w:t>
      </w:r>
    </w:p>
    <w:p w14:paraId="4B78899E" w14:textId="77777777" w:rsidR="00C83668" w:rsidRDefault="00C83668" w:rsidP="00C83668">
      <w:pPr>
        <w:spacing w:after="0" w:line="240" w:lineRule="auto"/>
        <w:contextualSpacing/>
      </w:pPr>
    </w:p>
    <w:p w14:paraId="31EFDBA5" w14:textId="11CBA915" w:rsidR="00364BB3" w:rsidRPr="00434D8F" w:rsidRDefault="00C83668" w:rsidP="00C83668">
      <w:pPr>
        <w:spacing w:after="0" w:line="240" w:lineRule="auto"/>
        <w:contextualSpacing/>
      </w:pPr>
      <w:r>
        <w:t xml:space="preserve">These EFCO </w:t>
      </w:r>
      <w:r w:rsidR="00364BB3" w:rsidRPr="00434D8F">
        <w:t>window</w:t>
      </w:r>
      <w:r w:rsidR="00E971CB">
        <w:t>s are</w:t>
      </w:r>
      <w:r w:rsidR="00364BB3" w:rsidRPr="00434D8F">
        <w:t xml:space="preserve"> approved through the National Fenestration Rating Council’s Component Modeling Approach (CMA) Product Certification Program. In addition, an environmental product declaration (EPD per ISO 14025 and 21930) is available </w:t>
      </w:r>
      <w:r>
        <w:t xml:space="preserve">to assist building teams with their </w:t>
      </w:r>
      <w:r w:rsidR="00364BB3" w:rsidRPr="00434D8F">
        <w:t>sustainable project goals.</w:t>
      </w:r>
    </w:p>
    <w:p w14:paraId="5630A977" w14:textId="77777777" w:rsidR="00C83668" w:rsidRDefault="00C83668" w:rsidP="00C83668">
      <w:pPr>
        <w:spacing w:after="0" w:line="240" w:lineRule="auto"/>
        <w:contextualSpacing/>
      </w:pPr>
    </w:p>
    <w:p w14:paraId="35561422" w14:textId="77777777" w:rsidR="00C83668" w:rsidRDefault="00364BB3" w:rsidP="00C83668">
      <w:pPr>
        <w:spacing w:after="0" w:line="240" w:lineRule="auto"/>
        <w:contextualSpacing/>
      </w:pPr>
      <w:r>
        <w:t xml:space="preserve">EFCO 2700 Series windows have a </w:t>
      </w:r>
      <w:r w:rsidRPr="00434D8F">
        <w:t>2</w:t>
      </w:r>
      <w:r>
        <w:t>-inch</w:t>
      </w:r>
      <w:r w:rsidRPr="00434D8F">
        <w:t xml:space="preserve"> aluminum frame depth with 3-3/16</w:t>
      </w:r>
      <w:r>
        <w:t>-inch</w:t>
      </w:r>
      <w:r w:rsidRPr="00434D8F">
        <w:t xml:space="preserve"> sightline</w:t>
      </w:r>
      <w:r>
        <w:t xml:space="preserve">. They accommodate </w:t>
      </w:r>
      <w:r w:rsidRPr="00434D8F">
        <w:t>1</w:t>
      </w:r>
      <w:r>
        <w:t>-inch</w:t>
      </w:r>
      <w:r w:rsidRPr="00434D8F">
        <w:t xml:space="preserve"> monolithic glazing, dual- and triple-glazed IGUs</w:t>
      </w:r>
      <w:r>
        <w:t>,</w:t>
      </w:r>
      <w:r w:rsidRPr="00434D8F">
        <w:t xml:space="preserve"> or infill panels</w:t>
      </w:r>
      <w:r>
        <w:t xml:space="preserve">. </w:t>
      </w:r>
      <w:r w:rsidRPr="00434D8F">
        <w:t>Factory-fabricated</w:t>
      </w:r>
      <w:r>
        <w:t xml:space="preserve"> as</w:t>
      </w:r>
      <w:r w:rsidRPr="00434D8F">
        <w:t xml:space="preserve"> pre-glazed units with pressure-equalized design</w:t>
      </w:r>
      <w:r>
        <w:t xml:space="preserve">, </w:t>
      </w:r>
      <w:r w:rsidRPr="00434D8F">
        <w:t xml:space="preserve">EFCO 2700 </w:t>
      </w:r>
      <w:r w:rsidR="00C83668">
        <w:t xml:space="preserve">architectural grade, fixed </w:t>
      </w:r>
      <w:r>
        <w:t xml:space="preserve">windows are </w:t>
      </w:r>
      <w:r w:rsidRPr="00434D8F">
        <w:t>AAMA AW</w:t>
      </w:r>
      <w:r>
        <w:t>-</w:t>
      </w:r>
      <w:r w:rsidRPr="00434D8F">
        <w:t>PG</w:t>
      </w:r>
      <w:r>
        <w:t>1</w:t>
      </w:r>
      <w:r w:rsidR="00C83668">
        <w:t>4</w:t>
      </w:r>
      <w:r>
        <w:t xml:space="preserve">0 rated for heavy use in </w:t>
      </w:r>
      <w:r w:rsidR="00E971CB">
        <w:t>challenging conditions</w:t>
      </w:r>
      <w:r>
        <w:t>. Their m</w:t>
      </w:r>
      <w:r w:rsidRPr="00434D8F">
        <w:t xml:space="preserve">ortise-and-tenon frame construction </w:t>
      </w:r>
      <w:r>
        <w:t xml:space="preserve">features </w:t>
      </w:r>
      <w:r w:rsidRPr="00434D8F">
        <w:t>mitered and angle-reinforced window corners</w:t>
      </w:r>
      <w:r>
        <w:t>.</w:t>
      </w:r>
    </w:p>
    <w:p w14:paraId="702A3226" w14:textId="77777777" w:rsidR="00C83668" w:rsidRDefault="00C83668" w:rsidP="00C83668">
      <w:pPr>
        <w:spacing w:after="0" w:line="240" w:lineRule="auto"/>
        <w:contextualSpacing/>
      </w:pPr>
    </w:p>
    <w:p w14:paraId="13B39B26" w14:textId="3F464876" w:rsidR="00C83668" w:rsidRPr="00434D8F" w:rsidRDefault="00C83668" w:rsidP="00C83668">
      <w:pPr>
        <w:spacing w:after="0" w:line="240" w:lineRule="auto"/>
        <w:contextualSpacing/>
      </w:pPr>
      <w:r>
        <w:t xml:space="preserve">Along with stringent testing for air, water, structural, thermal and condensation performance, EFCO 2700 Series windows deliver forced entry resistance and sound attenuation, further supporting occupant comfort, safety and well-being. Operable </w:t>
      </w:r>
      <w:r w:rsidRPr="00434D8F">
        <w:t>windows</w:t>
      </w:r>
      <w:r>
        <w:t xml:space="preserve"> also have been tested</w:t>
      </w:r>
      <w:r w:rsidRPr="00434D8F">
        <w:t xml:space="preserve"> per AAMA 513</w:t>
      </w:r>
      <w:r>
        <w:t xml:space="preserve"> for ADA a</w:t>
      </w:r>
      <w:r w:rsidRPr="00434D8F">
        <w:t>ccessible operation</w:t>
      </w:r>
      <w:r>
        <w:t>.</w:t>
      </w:r>
    </w:p>
    <w:p w14:paraId="628E3BF2" w14:textId="77777777" w:rsidR="00C83668" w:rsidRDefault="00C83668" w:rsidP="00C83668">
      <w:pPr>
        <w:spacing w:after="0" w:line="240" w:lineRule="auto"/>
        <w:contextualSpacing/>
      </w:pPr>
    </w:p>
    <w:p w14:paraId="0EE516DE" w14:textId="6C53B687" w:rsidR="00DC53C4" w:rsidRPr="00434D8F" w:rsidRDefault="00434D8F" w:rsidP="00C83668">
      <w:pPr>
        <w:spacing w:after="0" w:line="240" w:lineRule="auto"/>
        <w:contextualSpacing/>
      </w:pPr>
      <w:r w:rsidRPr="00434D8F">
        <w:t xml:space="preserve">Enhancing a variety of design styles, the </w:t>
      </w:r>
      <w:r w:rsidR="00364BB3">
        <w:t xml:space="preserve">EFCO windows’ </w:t>
      </w:r>
      <w:r w:rsidRPr="00434D8F">
        <w:t xml:space="preserve">extensive accessory line creates a customized appearance with a standard window product. </w:t>
      </w:r>
      <w:r w:rsidR="00364BB3" w:rsidRPr="00434D8F">
        <w:t>Option</w:t>
      </w:r>
      <w:r w:rsidR="00364BB3">
        <w:t xml:space="preserve">s include </w:t>
      </w:r>
      <w:r w:rsidR="00364BB3" w:rsidRPr="00434D8F">
        <w:t>integral window blinds, subframes, mullions, screens, sills and other hardware</w:t>
      </w:r>
      <w:r w:rsidR="00364BB3">
        <w:t xml:space="preserve">. </w:t>
      </w:r>
      <w:r w:rsidRPr="00434D8F">
        <w:t>Durable anodized and painted finishes provide long-lasting protection and a wide range of color choices.</w:t>
      </w:r>
    </w:p>
    <w:p w14:paraId="3F1F5AB2" w14:textId="77777777" w:rsidR="00EB5BB2" w:rsidRPr="00434D8F" w:rsidRDefault="00EB5BB2" w:rsidP="00C83668">
      <w:pPr>
        <w:spacing w:after="0" w:line="240" w:lineRule="auto"/>
        <w:contextualSpacing/>
      </w:pPr>
    </w:p>
    <w:p w14:paraId="419006F1" w14:textId="308C5A6E" w:rsidR="00AD515B" w:rsidRPr="00AD515B" w:rsidRDefault="004C49C1" w:rsidP="00C83668">
      <w:pPr>
        <w:spacing w:after="0" w:line="240" w:lineRule="auto"/>
        <w:contextualSpacing/>
        <w:rPr>
          <w:rFonts w:ascii="Calibri" w:hAnsi="Calibri" w:cs="Calibri"/>
          <w:i/>
          <w:iCs/>
        </w:rPr>
      </w:pPr>
      <w:r w:rsidRPr="00C83668">
        <w:rPr>
          <w:i/>
          <w:iCs/>
        </w:rPr>
        <w:t>To learn</w:t>
      </w:r>
      <w:r w:rsidRPr="00C83668">
        <w:rPr>
          <w:rFonts w:ascii="Calibri" w:hAnsi="Calibri" w:cs="Calibri"/>
          <w:i/>
          <w:iCs/>
        </w:rPr>
        <w:t xml:space="preserve"> more about </w:t>
      </w:r>
      <w:r w:rsidR="00AD515B" w:rsidRPr="00C83668">
        <w:rPr>
          <w:rFonts w:ascii="Calibri" w:hAnsi="Calibri" w:cs="Calibri"/>
          <w:i/>
          <w:iCs/>
        </w:rPr>
        <w:t>EFCO 2700</w:t>
      </w:r>
      <w:r w:rsidRPr="00C83668">
        <w:rPr>
          <w:rFonts w:ascii="Calibri" w:hAnsi="Calibri" w:cs="Calibri"/>
          <w:i/>
          <w:iCs/>
        </w:rPr>
        <w:t xml:space="preserve"> windows and other best-in-class </w:t>
      </w:r>
      <w:r w:rsidR="00F76282" w:rsidRPr="00C83668">
        <w:rPr>
          <w:rFonts w:ascii="Calibri" w:hAnsi="Calibri" w:cs="Calibri"/>
          <w:i/>
          <w:iCs/>
        </w:rPr>
        <w:t>aluminum</w:t>
      </w:r>
      <w:r w:rsidR="00C83668" w:rsidRPr="00C83668">
        <w:rPr>
          <w:rFonts w:ascii="Calibri" w:hAnsi="Calibri" w:cs="Calibri"/>
          <w:i/>
          <w:iCs/>
        </w:rPr>
        <w:t xml:space="preserve"> </w:t>
      </w:r>
      <w:r w:rsidR="00F76282" w:rsidRPr="00C83668">
        <w:rPr>
          <w:rFonts w:ascii="Calibri" w:hAnsi="Calibri" w:cs="Calibri"/>
          <w:i/>
          <w:iCs/>
        </w:rPr>
        <w:t>fram</w:t>
      </w:r>
      <w:r w:rsidR="00C83668" w:rsidRPr="00C83668">
        <w:rPr>
          <w:rFonts w:ascii="Calibri" w:hAnsi="Calibri" w:cs="Calibri"/>
          <w:i/>
          <w:iCs/>
        </w:rPr>
        <w:t xml:space="preserve">ing and </w:t>
      </w:r>
      <w:r w:rsidR="00DC53C4" w:rsidRPr="00C83668">
        <w:rPr>
          <w:rFonts w:ascii="Calibri" w:hAnsi="Calibri" w:cs="Calibri"/>
          <w:i/>
          <w:iCs/>
        </w:rPr>
        <w:t>fenestration,</w:t>
      </w:r>
      <w:r w:rsidRPr="00AC6870">
        <w:rPr>
          <w:rFonts w:ascii="Calibri" w:hAnsi="Calibri" w:cs="Calibri"/>
          <w:i/>
          <w:iCs/>
        </w:rPr>
        <w:t xml:space="preserve"> please visit </w:t>
      </w:r>
      <w:hyperlink r:id="rId9" w:history="1">
        <w:r w:rsidRPr="00AC6870">
          <w:rPr>
            <w:rStyle w:val="Hyperlink"/>
            <w:rFonts w:ascii="Calibri" w:hAnsi="Calibri" w:cs="Calibri"/>
            <w:i/>
            <w:iCs/>
          </w:rPr>
          <w:t>https://apogeearchmetals.com</w:t>
        </w:r>
      </w:hyperlink>
      <w:r w:rsidR="00AD515B">
        <w:rPr>
          <w:rFonts w:ascii="Calibri" w:hAnsi="Calibri" w:cs="Calibri"/>
          <w:i/>
          <w:iCs/>
        </w:rPr>
        <w:t xml:space="preserve">, </w:t>
      </w:r>
      <w:r w:rsidRPr="00AC6870">
        <w:rPr>
          <w:rFonts w:ascii="Calibri" w:hAnsi="Calibri" w:cs="Calibri"/>
          <w:i/>
          <w:iCs/>
        </w:rPr>
        <w:t xml:space="preserve">email </w:t>
      </w:r>
      <w:hyperlink r:id="rId10" w:history="1">
        <w:r w:rsidR="00AD515B" w:rsidRPr="001870D5">
          <w:rPr>
            <w:rStyle w:val="Hyperlink"/>
            <w:rFonts w:ascii="Calibri" w:hAnsi="Calibri" w:cs="Calibri"/>
            <w:i/>
            <w:iCs/>
          </w:rPr>
          <w:t>info@apogeearchmetals.com</w:t>
        </w:r>
      </w:hyperlink>
      <w:r w:rsidR="00AD515B">
        <w:rPr>
          <w:rFonts w:ascii="Calibri" w:hAnsi="Calibri" w:cs="Calibri"/>
          <w:i/>
          <w:iCs/>
        </w:rPr>
        <w:t xml:space="preserve"> or call 800-221-4169.</w:t>
      </w:r>
    </w:p>
    <w:p w14:paraId="637AEB89" w14:textId="3F2C9697" w:rsidR="00C75787" w:rsidRPr="00217746" w:rsidRDefault="00EB5BB2" w:rsidP="00C83668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AC6870">
        <w:rPr>
          <w:rFonts w:ascii="Calibri" w:hAnsi="Calibri" w:cs="Calibri"/>
          <w:i/>
          <w:iCs/>
        </w:rPr>
        <w:t>###</w:t>
      </w:r>
    </w:p>
    <w:sectPr w:rsidR="00C75787" w:rsidRPr="00217746" w:rsidSect="00D71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0304" w14:textId="77777777" w:rsidR="0045672F" w:rsidRDefault="0045672F">
      <w:pPr>
        <w:spacing w:after="0" w:line="240" w:lineRule="auto"/>
      </w:pPr>
      <w:r>
        <w:separator/>
      </w:r>
    </w:p>
  </w:endnote>
  <w:endnote w:type="continuationSeparator" w:id="0">
    <w:p w14:paraId="158C63EB" w14:textId="77777777" w:rsidR="0045672F" w:rsidRDefault="0045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7041" w14:textId="77777777" w:rsidR="004E6809" w:rsidRDefault="004E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74114105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70BC" w14:textId="77777777" w:rsidR="004E6809" w:rsidRDefault="004E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B3DA" w14:textId="77777777" w:rsidR="0045672F" w:rsidRDefault="0045672F">
      <w:pPr>
        <w:spacing w:after="0" w:line="240" w:lineRule="auto"/>
      </w:pPr>
      <w:r>
        <w:separator/>
      </w:r>
    </w:p>
  </w:footnote>
  <w:footnote w:type="continuationSeparator" w:id="0">
    <w:p w14:paraId="59AD04DF" w14:textId="77777777" w:rsidR="0045672F" w:rsidRDefault="0045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272" w14:textId="2B7A7C7C" w:rsidR="009A0AB5" w:rsidRDefault="009A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F29" w14:textId="15065DBE" w:rsidR="004E6809" w:rsidRDefault="004E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BD3D" w14:textId="5A7A9387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7A3"/>
    <w:multiLevelType w:val="multilevel"/>
    <w:tmpl w:val="678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638DF"/>
    <w:multiLevelType w:val="hybridMultilevel"/>
    <w:tmpl w:val="165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744F5"/>
    <w:multiLevelType w:val="hybridMultilevel"/>
    <w:tmpl w:val="413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1464">
    <w:abstractNumId w:val="2"/>
  </w:num>
  <w:num w:numId="2" w16cid:durableId="673217622">
    <w:abstractNumId w:val="1"/>
  </w:num>
  <w:num w:numId="3" w16cid:durableId="209874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236BD"/>
    <w:rsid w:val="000272BB"/>
    <w:rsid w:val="000353AA"/>
    <w:rsid w:val="00045238"/>
    <w:rsid w:val="000471FF"/>
    <w:rsid w:val="000B6709"/>
    <w:rsid w:val="000C1BA9"/>
    <w:rsid w:val="000F2072"/>
    <w:rsid w:val="00106568"/>
    <w:rsid w:val="00140407"/>
    <w:rsid w:val="001568B8"/>
    <w:rsid w:val="00170E2B"/>
    <w:rsid w:val="00194FCB"/>
    <w:rsid w:val="001B21B9"/>
    <w:rsid w:val="001B3EB8"/>
    <w:rsid w:val="001C62FB"/>
    <w:rsid w:val="001E5411"/>
    <w:rsid w:val="001F6FE8"/>
    <w:rsid w:val="00217746"/>
    <w:rsid w:val="0024039E"/>
    <w:rsid w:val="002739ED"/>
    <w:rsid w:val="002A474D"/>
    <w:rsid w:val="002A65E6"/>
    <w:rsid w:val="002E3C9B"/>
    <w:rsid w:val="00312B76"/>
    <w:rsid w:val="00361B0E"/>
    <w:rsid w:val="00364BB3"/>
    <w:rsid w:val="00365696"/>
    <w:rsid w:val="00374231"/>
    <w:rsid w:val="003B4AB2"/>
    <w:rsid w:val="003C0531"/>
    <w:rsid w:val="003D5229"/>
    <w:rsid w:val="003E3EEC"/>
    <w:rsid w:val="00427B58"/>
    <w:rsid w:val="00434D8F"/>
    <w:rsid w:val="0044368D"/>
    <w:rsid w:val="0045672F"/>
    <w:rsid w:val="00462494"/>
    <w:rsid w:val="004C49C1"/>
    <w:rsid w:val="004E6809"/>
    <w:rsid w:val="004F37CC"/>
    <w:rsid w:val="005029CD"/>
    <w:rsid w:val="005049FF"/>
    <w:rsid w:val="00506C69"/>
    <w:rsid w:val="0050709D"/>
    <w:rsid w:val="005110DB"/>
    <w:rsid w:val="00516CFD"/>
    <w:rsid w:val="0052232C"/>
    <w:rsid w:val="00563D15"/>
    <w:rsid w:val="0059780A"/>
    <w:rsid w:val="005A636C"/>
    <w:rsid w:val="005A674B"/>
    <w:rsid w:val="005B645A"/>
    <w:rsid w:val="005C222D"/>
    <w:rsid w:val="005D1655"/>
    <w:rsid w:val="0060125A"/>
    <w:rsid w:val="006900FB"/>
    <w:rsid w:val="006A6EC8"/>
    <w:rsid w:val="006D54AC"/>
    <w:rsid w:val="006E570E"/>
    <w:rsid w:val="006F0C3B"/>
    <w:rsid w:val="00715638"/>
    <w:rsid w:val="0072775F"/>
    <w:rsid w:val="00737DEB"/>
    <w:rsid w:val="00743011"/>
    <w:rsid w:val="00746630"/>
    <w:rsid w:val="00752353"/>
    <w:rsid w:val="00754749"/>
    <w:rsid w:val="00754C0B"/>
    <w:rsid w:val="00760D88"/>
    <w:rsid w:val="007620C1"/>
    <w:rsid w:val="007979E0"/>
    <w:rsid w:val="007D2862"/>
    <w:rsid w:val="00841678"/>
    <w:rsid w:val="00875A4C"/>
    <w:rsid w:val="00884ACD"/>
    <w:rsid w:val="008A19D1"/>
    <w:rsid w:val="008C7B5A"/>
    <w:rsid w:val="008D3296"/>
    <w:rsid w:val="008D77C9"/>
    <w:rsid w:val="008E4916"/>
    <w:rsid w:val="00903B9D"/>
    <w:rsid w:val="00910A5E"/>
    <w:rsid w:val="009422CD"/>
    <w:rsid w:val="00965DFC"/>
    <w:rsid w:val="00974887"/>
    <w:rsid w:val="009A0AB5"/>
    <w:rsid w:val="009B1844"/>
    <w:rsid w:val="009C6E9A"/>
    <w:rsid w:val="009E1A7D"/>
    <w:rsid w:val="00A04D1A"/>
    <w:rsid w:val="00A24B97"/>
    <w:rsid w:val="00A53245"/>
    <w:rsid w:val="00A64862"/>
    <w:rsid w:val="00A9109F"/>
    <w:rsid w:val="00AB733D"/>
    <w:rsid w:val="00AC00E9"/>
    <w:rsid w:val="00AC6870"/>
    <w:rsid w:val="00AD515B"/>
    <w:rsid w:val="00AE2F34"/>
    <w:rsid w:val="00AE672F"/>
    <w:rsid w:val="00B6422E"/>
    <w:rsid w:val="00B77458"/>
    <w:rsid w:val="00B84848"/>
    <w:rsid w:val="00B91586"/>
    <w:rsid w:val="00BB7EDE"/>
    <w:rsid w:val="00BC3FB4"/>
    <w:rsid w:val="00BD36FF"/>
    <w:rsid w:val="00C032D2"/>
    <w:rsid w:val="00C466CE"/>
    <w:rsid w:val="00C75787"/>
    <w:rsid w:val="00C8132E"/>
    <w:rsid w:val="00C83668"/>
    <w:rsid w:val="00CE4C1F"/>
    <w:rsid w:val="00D07366"/>
    <w:rsid w:val="00D23DBD"/>
    <w:rsid w:val="00D71F3C"/>
    <w:rsid w:val="00D8439B"/>
    <w:rsid w:val="00DB0074"/>
    <w:rsid w:val="00DC53C4"/>
    <w:rsid w:val="00DE45D1"/>
    <w:rsid w:val="00DF6085"/>
    <w:rsid w:val="00E159CF"/>
    <w:rsid w:val="00E25AA5"/>
    <w:rsid w:val="00E50978"/>
    <w:rsid w:val="00E54827"/>
    <w:rsid w:val="00E572E7"/>
    <w:rsid w:val="00E82764"/>
    <w:rsid w:val="00E84B9A"/>
    <w:rsid w:val="00E96CD7"/>
    <w:rsid w:val="00E971CB"/>
    <w:rsid w:val="00EA156A"/>
    <w:rsid w:val="00EB5BB2"/>
    <w:rsid w:val="00F27737"/>
    <w:rsid w:val="00F5620C"/>
    <w:rsid w:val="00F76282"/>
    <w:rsid w:val="00F9419E"/>
    <w:rsid w:val="00FD3A5E"/>
    <w:rsid w:val="00FD3EE6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434D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character" w:styleId="Hyperlink">
    <w:name w:val="Hyperlink"/>
    <w:basedOn w:val="DefaultParagraphFont"/>
    <w:uiPriority w:val="99"/>
    <w:unhideWhenUsed/>
    <w:rsid w:val="00EB5B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E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156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63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34D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apogeearchmetal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ogeearchmetals.com/products/2700-series-thermal-window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4</cp:revision>
  <cp:lastPrinted>2026-01-17T23:43:00Z</cp:lastPrinted>
  <dcterms:created xsi:type="dcterms:W3CDTF">2026-06-16T19:50:00Z</dcterms:created>
  <dcterms:modified xsi:type="dcterms:W3CDTF">2026-06-17T15:24:00Z</dcterms:modified>
</cp:coreProperties>
</file>